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ind w:firstLine="420" w:firstLineChars="200"/>
        <w:rPr>
          <w:rFonts w:cs="宋体" w:asciiTheme="minorEastAsia" w:hAnsiTheme="minorEastAsia"/>
          <w:szCs w:val="21"/>
        </w:rPr>
      </w:pPr>
    </w:p>
    <w:p>
      <w:pPr>
        <w:spacing w:line="360" w:lineRule="auto"/>
        <w:ind w:firstLine="420" w:firstLineChars="200"/>
        <w:rPr>
          <w:rFonts w:cs="宋体" w:asciiTheme="minorEastAsia" w:hAnsiTheme="minorEastAsia"/>
          <w:szCs w:val="21"/>
        </w:rPr>
      </w:pPr>
    </w:p>
    <w:p>
      <w:pPr>
        <w:jc w:val="center"/>
        <w:rPr>
          <w:rFonts w:hint="eastAsia" w:ascii="宋体" w:hAnsi="宋体"/>
          <w:b/>
          <w:bCs/>
          <w:sz w:val="52"/>
          <w:szCs w:val="52"/>
          <w:lang w:eastAsia="zh-CN"/>
        </w:rPr>
      </w:pPr>
      <w:r>
        <w:rPr>
          <w:rFonts w:hint="eastAsia" w:ascii="宋体" w:hAnsi="宋体"/>
          <w:b/>
          <w:bCs/>
          <w:sz w:val="52"/>
          <w:szCs w:val="52"/>
          <w:lang w:val="en-US" w:eastAsia="zh-CN"/>
        </w:rPr>
        <w:t>中武（福建）跨境电子商务有限责任公司铝模</w:t>
      </w:r>
      <w:r>
        <w:rPr>
          <w:rFonts w:hint="eastAsia" w:ascii="宋体" w:hAnsi="宋体"/>
          <w:b/>
          <w:bCs/>
          <w:sz w:val="52"/>
          <w:szCs w:val="52"/>
          <w:lang w:eastAsia="zh-CN"/>
        </w:rPr>
        <w:t>采购项目</w:t>
      </w:r>
    </w:p>
    <w:p>
      <w:pPr>
        <w:rPr>
          <w:rFonts w:ascii="宋体" w:hAnsi="宋体"/>
          <w:b/>
          <w:bCs/>
          <w:sz w:val="72"/>
          <w:lang w:eastAsia="zh-CN"/>
        </w:rPr>
      </w:pPr>
      <w:r>
        <w:rPr>
          <w:rFonts w:hint="eastAsia" w:ascii="宋体" w:hAnsi="宋体"/>
          <w:b/>
          <w:bCs/>
          <w:sz w:val="72"/>
          <w:lang w:eastAsia="zh-CN"/>
        </w:rPr>
        <w:t xml:space="preserve"> </w:t>
      </w:r>
    </w:p>
    <w:p>
      <w:pPr>
        <w:rPr>
          <w:rFonts w:hint="eastAsia" w:ascii="宋体" w:hAnsi="宋体"/>
          <w:b/>
          <w:bCs/>
          <w:sz w:val="72"/>
          <w:lang w:eastAsia="zh-CN"/>
        </w:rPr>
      </w:pPr>
    </w:p>
    <w:p>
      <w:pPr>
        <w:jc w:val="center"/>
        <w:rPr>
          <w:rFonts w:hint="eastAsia" w:ascii="宋体" w:hAnsi="宋体"/>
          <w:b/>
          <w:bCs/>
          <w:sz w:val="52"/>
          <w:szCs w:val="52"/>
          <w:lang w:eastAsia="zh-CN"/>
        </w:rPr>
      </w:pPr>
      <w:r>
        <w:rPr>
          <w:rFonts w:hint="eastAsia" w:ascii="宋体" w:hAnsi="宋体"/>
          <w:b/>
          <w:bCs/>
          <w:sz w:val="52"/>
          <w:szCs w:val="52"/>
          <w:lang w:eastAsia="zh-CN"/>
        </w:rPr>
        <w:t xml:space="preserve">招 标 </w:t>
      </w:r>
      <w:r>
        <w:rPr>
          <w:rFonts w:hint="eastAsia" w:ascii="宋体" w:hAnsi="宋体"/>
          <w:b/>
          <w:bCs/>
          <w:sz w:val="52"/>
          <w:szCs w:val="52"/>
          <w:lang w:val="en-US" w:eastAsia="zh-CN"/>
        </w:rPr>
        <w:t>邀 请 书</w:t>
      </w:r>
    </w:p>
    <w:p>
      <w:pPr>
        <w:spacing w:line="0" w:lineRule="atLeast"/>
        <w:jc w:val="center"/>
        <w:rPr>
          <w:rFonts w:hint="eastAsia" w:ascii="宋体" w:hAnsi="宋体"/>
          <w:b/>
          <w:sz w:val="44"/>
          <w:szCs w:val="32"/>
          <w:lang w:eastAsia="zh-CN"/>
        </w:rPr>
      </w:pPr>
    </w:p>
    <w:p>
      <w:pPr>
        <w:spacing w:line="0" w:lineRule="atLeast"/>
        <w:jc w:val="center"/>
        <w:rPr>
          <w:rFonts w:hint="eastAsia" w:ascii="宋体" w:hAnsi="宋体"/>
          <w:b/>
          <w:sz w:val="44"/>
          <w:szCs w:val="32"/>
          <w:lang w:eastAsia="zh-CN"/>
        </w:rPr>
      </w:pPr>
    </w:p>
    <w:p>
      <w:pPr>
        <w:spacing w:line="0" w:lineRule="atLeast"/>
        <w:jc w:val="center"/>
        <w:rPr>
          <w:rFonts w:hint="eastAsia" w:ascii="宋体" w:hAnsi="宋体"/>
          <w:b/>
          <w:sz w:val="44"/>
          <w:szCs w:val="32"/>
          <w:lang w:eastAsia="zh-CN"/>
        </w:rPr>
      </w:pPr>
    </w:p>
    <w:p>
      <w:pPr>
        <w:pStyle w:val="8"/>
        <w:adjustRightInd w:val="0"/>
        <w:snapToGrid w:val="0"/>
        <w:spacing w:line="360" w:lineRule="auto"/>
        <w:ind w:firstLine="1506" w:firstLineChars="500"/>
        <w:jc w:val="left"/>
        <w:rPr>
          <w:rFonts w:hint="eastAsia" w:hAnsi="宋体"/>
          <w:b/>
          <w:bCs/>
          <w:sz w:val="30"/>
          <w:szCs w:val="30"/>
          <w:lang w:eastAsia="zh-CN"/>
        </w:rPr>
      </w:pPr>
      <w:r>
        <w:rPr>
          <w:rFonts w:hint="eastAsia" w:hAnsi="宋体"/>
          <w:b/>
          <w:bCs/>
          <w:sz w:val="30"/>
          <w:szCs w:val="30"/>
          <w:lang w:eastAsia="zh-CN"/>
        </w:rPr>
        <w:t>项目名称：</w:t>
      </w:r>
      <w:bookmarkStart w:id="0" w:name="项目名称"/>
      <w:bookmarkStart w:id="1" w:name="_Hlk52362466"/>
      <w:r>
        <w:rPr>
          <w:rFonts w:hint="eastAsia" w:hAnsi="宋体"/>
          <w:b/>
          <w:bCs/>
          <w:sz w:val="30"/>
          <w:szCs w:val="30"/>
          <w:lang w:val="en-US" w:eastAsia="zh-CN"/>
        </w:rPr>
        <w:t>菲律宾卡琳娜住房</w:t>
      </w:r>
      <w:r>
        <w:rPr>
          <w:rFonts w:hint="eastAsia" w:ascii="宋体" w:hAnsi="宋体"/>
          <w:b/>
          <w:bCs/>
          <w:sz w:val="30"/>
          <w:szCs w:val="30"/>
          <w:lang w:val="en-US" w:eastAsia="zh-CN" w:bidi="ar-SA"/>
        </w:rPr>
        <w:t>项目</w:t>
      </w:r>
      <w:r>
        <w:rPr>
          <w:rFonts w:hint="eastAsia" w:hAnsi="宋体"/>
          <w:b/>
          <w:bCs/>
          <w:sz w:val="30"/>
          <w:szCs w:val="30"/>
          <w:lang w:val="en-US" w:eastAsia="zh-CN" w:bidi="ar-SA"/>
        </w:rPr>
        <w:t>铝模</w:t>
      </w:r>
      <w:r>
        <w:rPr>
          <w:rFonts w:hint="eastAsia" w:hAnsi="宋体"/>
          <w:b/>
          <w:bCs/>
          <w:sz w:val="30"/>
          <w:szCs w:val="30"/>
          <w:lang w:eastAsia="zh-CN"/>
        </w:rPr>
        <w:t>采购</w:t>
      </w:r>
      <w:bookmarkEnd w:id="0"/>
      <w:bookmarkEnd w:id="1"/>
    </w:p>
    <w:p>
      <w:pPr>
        <w:adjustRightInd w:val="0"/>
        <w:snapToGrid w:val="0"/>
        <w:spacing w:line="360" w:lineRule="auto"/>
        <w:ind w:firstLine="1506" w:firstLineChars="500"/>
        <w:jc w:val="left"/>
        <w:rPr>
          <w:rFonts w:hint="default" w:ascii="宋体" w:hAnsi="宋体"/>
          <w:b/>
          <w:bCs/>
          <w:sz w:val="30"/>
          <w:szCs w:val="30"/>
          <w:highlight w:val="none"/>
          <w:lang w:val="en-US" w:eastAsia="zh-CN"/>
        </w:rPr>
      </w:pPr>
      <w:r>
        <w:rPr>
          <w:rFonts w:hint="eastAsia" w:ascii="宋体" w:hAnsi="宋体"/>
          <w:b/>
          <w:bCs/>
          <w:sz w:val="30"/>
          <w:szCs w:val="30"/>
          <w:highlight w:val="none"/>
          <w:lang w:eastAsia="zh-CN"/>
        </w:rPr>
        <w:t>招标编号：ZWDSGYL-ZB-202100</w:t>
      </w:r>
      <w:r>
        <w:rPr>
          <w:rFonts w:hint="eastAsia" w:ascii="宋体" w:hAnsi="宋体"/>
          <w:b/>
          <w:bCs/>
          <w:sz w:val="30"/>
          <w:szCs w:val="30"/>
          <w:highlight w:val="none"/>
          <w:lang w:val="en-US" w:eastAsia="zh-CN"/>
        </w:rPr>
        <w:t>3</w:t>
      </w:r>
    </w:p>
    <w:p>
      <w:pPr>
        <w:adjustRightInd w:val="0"/>
        <w:snapToGrid w:val="0"/>
        <w:spacing w:line="360" w:lineRule="auto"/>
        <w:ind w:firstLine="1506" w:firstLineChars="500"/>
        <w:jc w:val="left"/>
        <w:rPr>
          <w:rFonts w:hint="default" w:ascii="宋体" w:hAnsi="宋体"/>
          <w:b/>
          <w:bCs/>
          <w:sz w:val="30"/>
          <w:szCs w:val="30"/>
          <w:lang w:val="en-US" w:eastAsia="zh-CN" w:bidi="ar-SA"/>
        </w:rPr>
      </w:pPr>
      <w:r>
        <w:rPr>
          <w:rFonts w:hint="eastAsia" w:ascii="宋体" w:hAnsi="宋体"/>
          <w:b/>
          <w:bCs/>
          <w:sz w:val="30"/>
          <w:szCs w:val="30"/>
          <w:lang w:val="en-US" w:eastAsia="zh-CN" w:bidi="ar-SA"/>
        </w:rPr>
        <w:t>招标单位：中武（福建）跨境电子商务有限责任公司</w:t>
      </w:r>
    </w:p>
    <w:p>
      <w:pPr>
        <w:adjustRightInd w:val="0"/>
        <w:snapToGrid w:val="0"/>
        <w:spacing w:line="360" w:lineRule="auto"/>
        <w:rPr>
          <w:rFonts w:hint="eastAsia" w:ascii="宋体" w:hAnsi="宋体"/>
          <w:b/>
          <w:sz w:val="30"/>
          <w:szCs w:val="30"/>
          <w:lang w:eastAsia="zh-CN"/>
        </w:rPr>
      </w:pPr>
    </w:p>
    <w:p>
      <w:pPr>
        <w:adjustRightInd w:val="0"/>
        <w:snapToGrid w:val="0"/>
        <w:spacing w:line="360" w:lineRule="auto"/>
        <w:rPr>
          <w:rFonts w:ascii="宋体" w:hAnsi="宋体"/>
          <w:b/>
          <w:sz w:val="30"/>
          <w:szCs w:val="30"/>
          <w:lang w:eastAsia="zh-CN"/>
        </w:rPr>
      </w:pPr>
    </w:p>
    <w:p>
      <w:pPr>
        <w:adjustRightInd w:val="0"/>
        <w:snapToGrid w:val="0"/>
        <w:spacing w:line="360" w:lineRule="auto"/>
        <w:rPr>
          <w:rFonts w:hint="eastAsia" w:ascii="宋体" w:hAnsi="宋体"/>
          <w:b/>
          <w:sz w:val="30"/>
          <w:szCs w:val="30"/>
          <w:lang w:eastAsia="zh-CN"/>
        </w:rPr>
      </w:pPr>
    </w:p>
    <w:p>
      <w:pPr>
        <w:jc w:val="center"/>
        <w:rPr>
          <w:rFonts w:hint="eastAsia" w:ascii="宋体" w:hAnsi="宋体"/>
          <w:b/>
          <w:sz w:val="30"/>
          <w:szCs w:val="30"/>
        </w:rPr>
      </w:pPr>
      <w:r>
        <w:rPr>
          <w:rFonts w:hint="eastAsia" w:ascii="宋体" w:hAnsi="宋体"/>
          <w:b/>
          <w:sz w:val="30"/>
          <w:szCs w:val="30"/>
        </w:rPr>
        <w:t>二〇二</w:t>
      </w:r>
      <w:r>
        <w:rPr>
          <w:rFonts w:hint="eastAsia" w:ascii="宋体" w:hAnsi="宋体"/>
          <w:b/>
          <w:sz w:val="30"/>
          <w:szCs w:val="30"/>
          <w:lang w:val="en-US" w:eastAsia="zh-CN"/>
        </w:rPr>
        <w:t>一</w:t>
      </w:r>
      <w:r>
        <w:rPr>
          <w:rFonts w:hint="eastAsia" w:ascii="宋体" w:hAnsi="宋体"/>
          <w:b/>
          <w:sz w:val="30"/>
          <w:szCs w:val="30"/>
        </w:rPr>
        <w:t>年</w:t>
      </w:r>
      <w:r>
        <w:rPr>
          <w:rFonts w:hint="eastAsia" w:ascii="宋体" w:hAnsi="宋体"/>
          <w:b/>
          <w:sz w:val="30"/>
          <w:szCs w:val="30"/>
          <w:lang w:val="en-US" w:eastAsia="zh-CN"/>
        </w:rPr>
        <w:t>七</w:t>
      </w:r>
      <w:r>
        <w:rPr>
          <w:rFonts w:hint="eastAsia" w:ascii="宋体" w:hAnsi="宋体"/>
          <w:b/>
          <w:sz w:val="30"/>
          <w:szCs w:val="30"/>
        </w:rPr>
        <w:t>月</w:t>
      </w:r>
    </w:p>
    <w:p>
      <w:pPr>
        <w:spacing w:line="360" w:lineRule="auto"/>
        <w:ind w:firstLine="420" w:firstLineChars="200"/>
        <w:rPr>
          <w:rFonts w:asciiTheme="minorEastAsia" w:hAnsiTheme="minorEastAsia"/>
          <w:szCs w:val="21"/>
        </w:rPr>
      </w:pPr>
    </w:p>
    <w:p>
      <w:pPr>
        <w:spacing w:line="360" w:lineRule="auto"/>
        <w:ind w:firstLine="420" w:firstLineChars="200"/>
        <w:rPr>
          <w:rFonts w:asciiTheme="minorEastAsia" w:hAnsiTheme="minorEastAsia"/>
          <w:szCs w:val="21"/>
        </w:rPr>
      </w:pPr>
    </w:p>
    <w:p>
      <w:pPr>
        <w:spacing w:line="360" w:lineRule="auto"/>
        <w:ind w:firstLine="420" w:firstLineChars="200"/>
        <w:rPr>
          <w:rFonts w:asciiTheme="minorEastAsia" w:hAnsiTheme="minorEastAsia"/>
          <w:szCs w:val="21"/>
        </w:rPr>
      </w:pPr>
    </w:p>
    <w:p>
      <w:pPr>
        <w:spacing w:line="360" w:lineRule="auto"/>
        <w:ind w:firstLine="420" w:firstLineChars="200"/>
        <w:rPr>
          <w:rFonts w:hint="eastAsia" w:asciiTheme="minorEastAsia" w:hAnsiTheme="minorEastAsia"/>
          <w:szCs w:val="21"/>
        </w:rPr>
      </w:pPr>
      <w:r>
        <w:rPr>
          <w:rFonts w:hint="eastAsia" w:asciiTheme="minorEastAsia" w:hAnsiTheme="minorEastAsia"/>
          <w:szCs w:val="21"/>
        </w:rPr>
        <w:t xml:space="preserve"> </w:t>
      </w:r>
    </w:p>
    <w:p>
      <w:pPr>
        <w:spacing w:line="360" w:lineRule="auto"/>
        <w:jc w:val="both"/>
        <w:rPr>
          <w:rFonts w:hint="eastAsia"/>
          <w:b/>
          <w:bCs/>
          <w:sz w:val="28"/>
          <w:szCs w:val="28"/>
        </w:rPr>
      </w:pPr>
    </w:p>
    <w:p>
      <w:pPr>
        <w:spacing w:line="360" w:lineRule="auto"/>
        <w:jc w:val="both"/>
        <w:rPr>
          <w:rFonts w:hint="eastAsia"/>
          <w:b/>
          <w:bCs/>
          <w:sz w:val="28"/>
          <w:szCs w:val="28"/>
        </w:rPr>
      </w:pPr>
    </w:p>
    <w:p>
      <w:pPr>
        <w:pStyle w:val="2"/>
        <w:numPr>
          <w:ilvl w:val="1"/>
          <w:numId w:val="0"/>
        </w:numPr>
        <w:ind w:leftChars="0"/>
        <w:outlineLvl w:val="9"/>
        <w:sectPr>
          <w:headerReference r:id="rId3" w:type="default"/>
          <w:footerReference r:id="rId4" w:type="default"/>
          <w:footerReference r:id="rId5" w:type="even"/>
          <w:pgSz w:w="12240" w:h="15840"/>
          <w:pgMar w:top="1440" w:right="1800" w:bottom="1182" w:left="1800" w:header="708" w:footer="708" w:gutter="0"/>
          <w:pgBorders>
            <w:top w:val="none" w:sz="0" w:space="0"/>
            <w:left w:val="none" w:sz="0" w:space="0"/>
            <w:bottom w:val="none" w:sz="0" w:space="0"/>
            <w:right w:val="none" w:sz="0" w:space="0"/>
          </w:pgBorders>
          <w:pgNumType w:fmt="decimal"/>
          <w:cols w:space="720" w:num="1"/>
          <w:titlePg/>
          <w:docGrid w:linePitch="360" w:charSpace="0"/>
        </w:sectPr>
      </w:pPr>
    </w:p>
    <w:sdt>
      <w:sdtPr>
        <w:rPr>
          <w:rFonts w:ascii="宋体" w:hAnsi="宋体" w:eastAsia="宋体" w:cstheme="minorBidi"/>
          <w:kern w:val="2"/>
          <w:sz w:val="24"/>
          <w:szCs w:val="32"/>
          <w:lang w:val="en-US" w:eastAsia="zh-CN" w:bidi="ar-SA"/>
        </w:rPr>
        <w:id w:val="147461521"/>
        <w15:color w:val="DBDBDB"/>
        <w:docPartObj>
          <w:docPartGallery w:val="Table of Contents"/>
          <w:docPartUnique/>
        </w:docPartObj>
      </w:sdtPr>
      <w:sdtEndPr>
        <w:rPr>
          <w:rFonts w:asciiTheme="minorHAnsi" w:hAnsiTheme="minorHAnsi" w:eastAsiaTheme="minorEastAsia" w:cstheme="minorBidi"/>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after="181" w:afterLines="50" w:line="240" w:lineRule="auto"/>
            <w:ind w:left="0" w:leftChars="0" w:right="0" w:rightChars="0" w:firstLine="0" w:firstLineChars="0"/>
            <w:jc w:val="center"/>
            <w:textAlignment w:val="auto"/>
            <w:rPr>
              <w:sz w:val="24"/>
              <w:szCs w:val="32"/>
            </w:rPr>
          </w:pPr>
          <w:r>
            <w:rPr>
              <w:rFonts w:ascii="宋体" w:hAnsi="宋体" w:eastAsia="宋体"/>
              <w:sz w:val="24"/>
              <w:szCs w:val="32"/>
            </w:rPr>
            <w:t>目录</w:t>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TOC \o "1-3" \h \u </w:instrText>
          </w:r>
          <w:r>
            <w:rPr>
              <w:sz w:val="22"/>
              <w:szCs w:val="22"/>
            </w:rPr>
            <w:fldChar w:fldCharType="separate"/>
          </w:r>
          <w:r>
            <w:rPr>
              <w:sz w:val="22"/>
              <w:szCs w:val="22"/>
            </w:rPr>
            <w:fldChar w:fldCharType="begin"/>
          </w:r>
          <w:r>
            <w:rPr>
              <w:sz w:val="22"/>
              <w:szCs w:val="22"/>
            </w:rPr>
            <w:instrText xml:space="preserve"> HYPERLINK \l _Toc342 </w:instrText>
          </w:r>
          <w:r>
            <w:rPr>
              <w:sz w:val="22"/>
              <w:szCs w:val="22"/>
            </w:rPr>
            <w:fldChar w:fldCharType="separate"/>
          </w:r>
          <w:r>
            <w:rPr>
              <w:rFonts w:hint="eastAsia"/>
              <w:sz w:val="22"/>
              <w:szCs w:val="40"/>
            </w:rPr>
            <w:t xml:space="preserve">第一章   </w:t>
          </w:r>
          <w:r>
            <w:rPr>
              <w:rFonts w:hint="eastAsia"/>
              <w:sz w:val="22"/>
              <w:szCs w:val="40"/>
              <w:lang w:val="en-US" w:eastAsia="zh-CN"/>
            </w:rPr>
            <w:t>投标邀请</w:t>
          </w:r>
          <w:r>
            <w:rPr>
              <w:sz w:val="22"/>
              <w:szCs w:val="22"/>
            </w:rPr>
            <w:tab/>
          </w:r>
          <w:r>
            <w:rPr>
              <w:sz w:val="22"/>
              <w:szCs w:val="22"/>
            </w:rPr>
            <w:fldChar w:fldCharType="begin"/>
          </w:r>
          <w:r>
            <w:rPr>
              <w:sz w:val="22"/>
              <w:szCs w:val="22"/>
            </w:rPr>
            <w:instrText xml:space="preserve"> PAGEREF _Toc342 \h </w:instrText>
          </w:r>
          <w:r>
            <w:rPr>
              <w:sz w:val="22"/>
              <w:szCs w:val="22"/>
            </w:rPr>
            <w:fldChar w:fldCharType="separate"/>
          </w:r>
          <w:r>
            <w:rPr>
              <w:sz w:val="22"/>
              <w:szCs w:val="22"/>
            </w:rPr>
            <w:t>1</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_Toc3676 </w:instrText>
          </w:r>
          <w:r>
            <w:rPr>
              <w:sz w:val="22"/>
              <w:szCs w:val="22"/>
            </w:rPr>
            <w:fldChar w:fldCharType="separate"/>
          </w:r>
          <w:r>
            <w:rPr>
              <w:rFonts w:hint="eastAsia"/>
              <w:sz w:val="22"/>
              <w:szCs w:val="40"/>
            </w:rPr>
            <w:t>第二章   投标人须知及前附表</w:t>
          </w:r>
          <w:r>
            <w:rPr>
              <w:sz w:val="22"/>
              <w:szCs w:val="22"/>
            </w:rPr>
            <w:tab/>
          </w:r>
          <w:r>
            <w:rPr>
              <w:sz w:val="22"/>
              <w:szCs w:val="22"/>
            </w:rPr>
            <w:fldChar w:fldCharType="begin"/>
          </w:r>
          <w:r>
            <w:rPr>
              <w:sz w:val="22"/>
              <w:szCs w:val="22"/>
            </w:rPr>
            <w:instrText xml:space="preserve"> PAGEREF _Toc3676 \h </w:instrText>
          </w:r>
          <w:r>
            <w:rPr>
              <w:sz w:val="22"/>
              <w:szCs w:val="22"/>
            </w:rPr>
            <w:fldChar w:fldCharType="separate"/>
          </w:r>
          <w:r>
            <w:rPr>
              <w:sz w:val="22"/>
              <w:szCs w:val="22"/>
            </w:rPr>
            <w:t>2</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_Toc15316 </w:instrText>
          </w:r>
          <w:r>
            <w:rPr>
              <w:sz w:val="22"/>
              <w:szCs w:val="22"/>
            </w:rPr>
            <w:fldChar w:fldCharType="separate"/>
          </w:r>
          <w:r>
            <w:rPr>
              <w:rFonts w:hint="eastAsia"/>
              <w:sz w:val="22"/>
              <w:szCs w:val="28"/>
              <w:lang w:val="en-US" w:eastAsia="zh-CN"/>
            </w:rPr>
            <w:t>1. 招标须知：</w:t>
          </w:r>
          <w:r>
            <w:rPr>
              <w:sz w:val="22"/>
              <w:szCs w:val="22"/>
            </w:rPr>
            <w:tab/>
          </w:r>
          <w:r>
            <w:rPr>
              <w:sz w:val="22"/>
              <w:szCs w:val="22"/>
            </w:rPr>
            <w:fldChar w:fldCharType="begin"/>
          </w:r>
          <w:r>
            <w:rPr>
              <w:sz w:val="22"/>
              <w:szCs w:val="22"/>
            </w:rPr>
            <w:instrText xml:space="preserve"> PAGEREF _Toc15316 \h </w:instrText>
          </w:r>
          <w:r>
            <w:rPr>
              <w:sz w:val="22"/>
              <w:szCs w:val="22"/>
            </w:rPr>
            <w:fldChar w:fldCharType="separate"/>
          </w:r>
          <w:r>
            <w:rPr>
              <w:sz w:val="22"/>
              <w:szCs w:val="22"/>
            </w:rPr>
            <w:t>5</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_Toc2080 </w:instrText>
          </w:r>
          <w:r>
            <w:rPr>
              <w:sz w:val="22"/>
              <w:szCs w:val="22"/>
            </w:rPr>
            <w:fldChar w:fldCharType="separate"/>
          </w:r>
          <w:r>
            <w:rPr>
              <w:rFonts w:hint="eastAsia"/>
              <w:sz w:val="22"/>
              <w:szCs w:val="28"/>
              <w:lang w:val="en-US" w:eastAsia="zh-CN"/>
            </w:rPr>
            <w:t>2. 招标文件</w:t>
          </w:r>
          <w:r>
            <w:rPr>
              <w:sz w:val="22"/>
              <w:szCs w:val="22"/>
            </w:rPr>
            <w:tab/>
          </w:r>
          <w:r>
            <w:rPr>
              <w:sz w:val="22"/>
              <w:szCs w:val="22"/>
            </w:rPr>
            <w:fldChar w:fldCharType="begin"/>
          </w:r>
          <w:r>
            <w:rPr>
              <w:sz w:val="22"/>
              <w:szCs w:val="22"/>
            </w:rPr>
            <w:instrText xml:space="preserve"> PAGEREF _Toc2080 \h </w:instrText>
          </w:r>
          <w:r>
            <w:rPr>
              <w:sz w:val="22"/>
              <w:szCs w:val="22"/>
            </w:rPr>
            <w:fldChar w:fldCharType="separate"/>
          </w:r>
          <w:r>
            <w:rPr>
              <w:sz w:val="22"/>
              <w:szCs w:val="22"/>
            </w:rPr>
            <w:t>6</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_Toc2576 </w:instrText>
          </w:r>
          <w:r>
            <w:rPr>
              <w:sz w:val="22"/>
              <w:szCs w:val="22"/>
            </w:rPr>
            <w:fldChar w:fldCharType="separate"/>
          </w:r>
          <w:r>
            <w:rPr>
              <w:rFonts w:hint="eastAsia"/>
              <w:sz w:val="22"/>
              <w:szCs w:val="28"/>
              <w:lang w:val="en-US" w:eastAsia="zh-CN"/>
            </w:rPr>
            <w:t>3. 投标文件</w:t>
          </w:r>
          <w:r>
            <w:rPr>
              <w:sz w:val="22"/>
              <w:szCs w:val="22"/>
            </w:rPr>
            <w:tab/>
          </w:r>
          <w:r>
            <w:rPr>
              <w:sz w:val="22"/>
              <w:szCs w:val="22"/>
            </w:rPr>
            <w:fldChar w:fldCharType="begin"/>
          </w:r>
          <w:r>
            <w:rPr>
              <w:sz w:val="22"/>
              <w:szCs w:val="22"/>
            </w:rPr>
            <w:instrText xml:space="preserve"> PAGEREF _Toc2576 \h </w:instrText>
          </w:r>
          <w:r>
            <w:rPr>
              <w:sz w:val="22"/>
              <w:szCs w:val="22"/>
            </w:rPr>
            <w:fldChar w:fldCharType="separate"/>
          </w:r>
          <w:r>
            <w:rPr>
              <w:sz w:val="22"/>
              <w:szCs w:val="22"/>
            </w:rPr>
            <w:t>7</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_Toc24825 </w:instrText>
          </w:r>
          <w:r>
            <w:rPr>
              <w:sz w:val="22"/>
              <w:szCs w:val="22"/>
            </w:rPr>
            <w:fldChar w:fldCharType="separate"/>
          </w:r>
          <w:r>
            <w:rPr>
              <w:rFonts w:hint="eastAsia"/>
              <w:sz w:val="22"/>
              <w:szCs w:val="28"/>
              <w:lang w:val="en-US" w:eastAsia="zh-CN"/>
            </w:rPr>
            <w:t>4. 总则</w:t>
          </w:r>
          <w:r>
            <w:rPr>
              <w:sz w:val="22"/>
              <w:szCs w:val="22"/>
            </w:rPr>
            <w:tab/>
          </w:r>
          <w:r>
            <w:rPr>
              <w:sz w:val="22"/>
              <w:szCs w:val="22"/>
            </w:rPr>
            <w:fldChar w:fldCharType="begin"/>
          </w:r>
          <w:r>
            <w:rPr>
              <w:sz w:val="22"/>
              <w:szCs w:val="22"/>
            </w:rPr>
            <w:instrText xml:space="preserve"> PAGEREF _Toc24825 \h </w:instrText>
          </w:r>
          <w:r>
            <w:rPr>
              <w:sz w:val="22"/>
              <w:szCs w:val="22"/>
            </w:rPr>
            <w:fldChar w:fldCharType="separate"/>
          </w:r>
          <w:r>
            <w:rPr>
              <w:sz w:val="22"/>
              <w:szCs w:val="22"/>
            </w:rPr>
            <w:t>9</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_Toc21124 </w:instrText>
          </w:r>
          <w:r>
            <w:rPr>
              <w:sz w:val="22"/>
              <w:szCs w:val="22"/>
            </w:rPr>
            <w:fldChar w:fldCharType="separate"/>
          </w:r>
          <w:r>
            <w:rPr>
              <w:rFonts w:hint="eastAsia"/>
              <w:sz w:val="22"/>
              <w:szCs w:val="28"/>
              <w:lang w:val="en-US" w:eastAsia="zh-CN"/>
            </w:rPr>
            <w:t>5.招标文件</w:t>
          </w:r>
          <w:r>
            <w:rPr>
              <w:sz w:val="22"/>
              <w:szCs w:val="22"/>
            </w:rPr>
            <w:tab/>
          </w:r>
          <w:r>
            <w:rPr>
              <w:sz w:val="22"/>
              <w:szCs w:val="22"/>
            </w:rPr>
            <w:fldChar w:fldCharType="begin"/>
          </w:r>
          <w:r>
            <w:rPr>
              <w:sz w:val="22"/>
              <w:szCs w:val="22"/>
            </w:rPr>
            <w:instrText xml:space="preserve"> PAGEREF _Toc21124 \h </w:instrText>
          </w:r>
          <w:r>
            <w:rPr>
              <w:sz w:val="22"/>
              <w:szCs w:val="22"/>
            </w:rPr>
            <w:fldChar w:fldCharType="separate"/>
          </w:r>
          <w:r>
            <w:rPr>
              <w:sz w:val="22"/>
              <w:szCs w:val="22"/>
            </w:rPr>
            <w:t>10</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_Toc13757 </w:instrText>
          </w:r>
          <w:r>
            <w:rPr>
              <w:sz w:val="22"/>
              <w:szCs w:val="22"/>
            </w:rPr>
            <w:fldChar w:fldCharType="separate"/>
          </w:r>
          <w:r>
            <w:rPr>
              <w:rFonts w:hint="eastAsia"/>
              <w:sz w:val="22"/>
              <w:szCs w:val="28"/>
              <w:lang w:val="en-US" w:eastAsia="zh-CN"/>
            </w:rPr>
            <w:t>6.投标</w:t>
          </w:r>
          <w:r>
            <w:rPr>
              <w:sz w:val="22"/>
              <w:szCs w:val="22"/>
            </w:rPr>
            <w:tab/>
          </w:r>
          <w:r>
            <w:rPr>
              <w:sz w:val="22"/>
              <w:szCs w:val="22"/>
            </w:rPr>
            <w:fldChar w:fldCharType="begin"/>
          </w:r>
          <w:r>
            <w:rPr>
              <w:sz w:val="22"/>
              <w:szCs w:val="22"/>
            </w:rPr>
            <w:instrText xml:space="preserve"> PAGEREF _Toc13757 \h </w:instrText>
          </w:r>
          <w:r>
            <w:rPr>
              <w:sz w:val="22"/>
              <w:szCs w:val="22"/>
            </w:rPr>
            <w:fldChar w:fldCharType="separate"/>
          </w:r>
          <w:r>
            <w:rPr>
              <w:sz w:val="22"/>
              <w:szCs w:val="22"/>
            </w:rPr>
            <w:t>10</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_Toc21617 </w:instrText>
          </w:r>
          <w:r>
            <w:rPr>
              <w:sz w:val="22"/>
              <w:szCs w:val="22"/>
            </w:rPr>
            <w:fldChar w:fldCharType="separate"/>
          </w:r>
          <w:r>
            <w:rPr>
              <w:rFonts w:hint="eastAsia"/>
              <w:sz w:val="22"/>
              <w:szCs w:val="28"/>
              <w:lang w:val="en-US" w:eastAsia="zh-CN"/>
            </w:rPr>
            <w:t>7.投标文件的编制</w:t>
          </w:r>
          <w:r>
            <w:rPr>
              <w:sz w:val="22"/>
              <w:szCs w:val="22"/>
            </w:rPr>
            <w:tab/>
          </w:r>
          <w:r>
            <w:rPr>
              <w:sz w:val="22"/>
              <w:szCs w:val="22"/>
            </w:rPr>
            <w:fldChar w:fldCharType="begin"/>
          </w:r>
          <w:r>
            <w:rPr>
              <w:sz w:val="22"/>
              <w:szCs w:val="22"/>
            </w:rPr>
            <w:instrText xml:space="preserve"> PAGEREF _Toc21617 \h </w:instrText>
          </w:r>
          <w:r>
            <w:rPr>
              <w:sz w:val="22"/>
              <w:szCs w:val="22"/>
            </w:rPr>
            <w:fldChar w:fldCharType="separate"/>
          </w:r>
          <w:r>
            <w:rPr>
              <w:sz w:val="22"/>
              <w:szCs w:val="22"/>
            </w:rPr>
            <w:t>11</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_Toc3948 </w:instrText>
          </w:r>
          <w:r>
            <w:rPr>
              <w:sz w:val="22"/>
              <w:szCs w:val="22"/>
            </w:rPr>
            <w:fldChar w:fldCharType="separate"/>
          </w:r>
          <w:r>
            <w:rPr>
              <w:rFonts w:hint="eastAsia"/>
              <w:sz w:val="22"/>
              <w:szCs w:val="28"/>
              <w:lang w:val="en-US" w:eastAsia="zh-CN"/>
            </w:rPr>
            <w:t>8.投标文件的递交</w:t>
          </w:r>
          <w:r>
            <w:rPr>
              <w:sz w:val="22"/>
              <w:szCs w:val="22"/>
            </w:rPr>
            <w:tab/>
          </w:r>
          <w:r>
            <w:rPr>
              <w:sz w:val="22"/>
              <w:szCs w:val="22"/>
            </w:rPr>
            <w:fldChar w:fldCharType="begin"/>
          </w:r>
          <w:r>
            <w:rPr>
              <w:sz w:val="22"/>
              <w:szCs w:val="22"/>
            </w:rPr>
            <w:instrText xml:space="preserve"> PAGEREF _Toc3948 \h </w:instrText>
          </w:r>
          <w:r>
            <w:rPr>
              <w:sz w:val="22"/>
              <w:szCs w:val="22"/>
            </w:rPr>
            <w:fldChar w:fldCharType="separate"/>
          </w:r>
          <w:r>
            <w:rPr>
              <w:sz w:val="22"/>
              <w:szCs w:val="22"/>
            </w:rPr>
            <w:t>12</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_Toc2218 </w:instrText>
          </w:r>
          <w:r>
            <w:rPr>
              <w:sz w:val="22"/>
              <w:szCs w:val="22"/>
            </w:rPr>
            <w:fldChar w:fldCharType="separate"/>
          </w:r>
          <w:r>
            <w:rPr>
              <w:rFonts w:hint="eastAsia"/>
              <w:sz w:val="22"/>
              <w:szCs w:val="28"/>
              <w:lang w:val="en-US" w:eastAsia="zh-CN"/>
            </w:rPr>
            <w:t>9.开标</w:t>
          </w:r>
          <w:r>
            <w:rPr>
              <w:sz w:val="22"/>
              <w:szCs w:val="22"/>
            </w:rPr>
            <w:tab/>
          </w:r>
          <w:r>
            <w:rPr>
              <w:sz w:val="22"/>
              <w:szCs w:val="22"/>
            </w:rPr>
            <w:fldChar w:fldCharType="begin"/>
          </w:r>
          <w:r>
            <w:rPr>
              <w:sz w:val="22"/>
              <w:szCs w:val="22"/>
            </w:rPr>
            <w:instrText xml:space="preserve"> PAGEREF _Toc2218 \h </w:instrText>
          </w:r>
          <w:r>
            <w:rPr>
              <w:sz w:val="22"/>
              <w:szCs w:val="22"/>
            </w:rPr>
            <w:fldChar w:fldCharType="separate"/>
          </w:r>
          <w:r>
            <w:rPr>
              <w:sz w:val="22"/>
              <w:szCs w:val="22"/>
            </w:rPr>
            <w:t>12</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_Toc4110 </w:instrText>
          </w:r>
          <w:r>
            <w:rPr>
              <w:sz w:val="22"/>
              <w:szCs w:val="22"/>
            </w:rPr>
            <w:fldChar w:fldCharType="separate"/>
          </w:r>
          <w:r>
            <w:rPr>
              <w:rFonts w:hint="eastAsia"/>
              <w:sz w:val="22"/>
              <w:szCs w:val="28"/>
              <w:lang w:val="en-US" w:eastAsia="zh-CN"/>
            </w:rPr>
            <w:t>10.评标</w:t>
          </w:r>
          <w:r>
            <w:rPr>
              <w:sz w:val="22"/>
              <w:szCs w:val="22"/>
            </w:rPr>
            <w:tab/>
          </w:r>
          <w:r>
            <w:rPr>
              <w:sz w:val="22"/>
              <w:szCs w:val="22"/>
            </w:rPr>
            <w:fldChar w:fldCharType="begin"/>
          </w:r>
          <w:r>
            <w:rPr>
              <w:sz w:val="22"/>
              <w:szCs w:val="22"/>
            </w:rPr>
            <w:instrText xml:space="preserve"> PAGEREF _Toc4110 \h </w:instrText>
          </w:r>
          <w:r>
            <w:rPr>
              <w:sz w:val="22"/>
              <w:szCs w:val="22"/>
            </w:rPr>
            <w:fldChar w:fldCharType="separate"/>
          </w:r>
          <w:r>
            <w:rPr>
              <w:sz w:val="22"/>
              <w:szCs w:val="22"/>
            </w:rPr>
            <w:t>12</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_Toc2935 </w:instrText>
          </w:r>
          <w:r>
            <w:rPr>
              <w:sz w:val="22"/>
              <w:szCs w:val="22"/>
            </w:rPr>
            <w:fldChar w:fldCharType="separate"/>
          </w:r>
          <w:r>
            <w:rPr>
              <w:rFonts w:hint="eastAsia"/>
              <w:sz w:val="22"/>
              <w:szCs w:val="28"/>
              <w:lang w:val="en-US" w:eastAsia="zh-CN"/>
            </w:rPr>
            <w:t>11.合同的授予</w:t>
          </w:r>
          <w:r>
            <w:rPr>
              <w:sz w:val="22"/>
              <w:szCs w:val="22"/>
            </w:rPr>
            <w:tab/>
          </w:r>
          <w:r>
            <w:rPr>
              <w:sz w:val="22"/>
              <w:szCs w:val="22"/>
            </w:rPr>
            <w:fldChar w:fldCharType="begin"/>
          </w:r>
          <w:r>
            <w:rPr>
              <w:sz w:val="22"/>
              <w:szCs w:val="22"/>
            </w:rPr>
            <w:instrText xml:space="preserve"> PAGEREF _Toc2935 \h </w:instrText>
          </w:r>
          <w:r>
            <w:rPr>
              <w:sz w:val="22"/>
              <w:szCs w:val="22"/>
            </w:rPr>
            <w:fldChar w:fldCharType="separate"/>
          </w:r>
          <w:r>
            <w:rPr>
              <w:sz w:val="22"/>
              <w:szCs w:val="22"/>
            </w:rPr>
            <w:t>13</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_Toc25515 </w:instrText>
          </w:r>
          <w:r>
            <w:rPr>
              <w:sz w:val="22"/>
              <w:szCs w:val="22"/>
            </w:rPr>
            <w:fldChar w:fldCharType="separate"/>
          </w:r>
          <w:r>
            <w:rPr>
              <w:rFonts w:hint="eastAsia"/>
              <w:sz w:val="22"/>
              <w:szCs w:val="40"/>
            </w:rPr>
            <w:t>第</w:t>
          </w:r>
          <w:r>
            <w:rPr>
              <w:rFonts w:hint="eastAsia"/>
              <w:sz w:val="22"/>
              <w:szCs w:val="40"/>
              <w:lang w:val="en-US" w:eastAsia="zh-CN"/>
            </w:rPr>
            <w:t>三</w:t>
          </w:r>
          <w:r>
            <w:rPr>
              <w:rFonts w:hint="eastAsia"/>
              <w:sz w:val="22"/>
              <w:szCs w:val="40"/>
            </w:rPr>
            <w:t>章   招标内容与质量要求</w:t>
          </w:r>
          <w:r>
            <w:rPr>
              <w:sz w:val="22"/>
              <w:szCs w:val="22"/>
            </w:rPr>
            <w:tab/>
          </w:r>
          <w:r>
            <w:rPr>
              <w:sz w:val="22"/>
              <w:szCs w:val="22"/>
            </w:rPr>
            <w:fldChar w:fldCharType="begin"/>
          </w:r>
          <w:r>
            <w:rPr>
              <w:sz w:val="22"/>
              <w:szCs w:val="22"/>
            </w:rPr>
            <w:instrText xml:space="preserve"> PAGEREF _Toc25515 \h </w:instrText>
          </w:r>
          <w:r>
            <w:rPr>
              <w:sz w:val="22"/>
              <w:szCs w:val="22"/>
            </w:rPr>
            <w:fldChar w:fldCharType="separate"/>
          </w:r>
          <w:r>
            <w:rPr>
              <w:sz w:val="22"/>
              <w:szCs w:val="22"/>
            </w:rPr>
            <w:t>14</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_Toc15926 </w:instrText>
          </w:r>
          <w:r>
            <w:rPr>
              <w:sz w:val="22"/>
              <w:szCs w:val="22"/>
            </w:rPr>
            <w:fldChar w:fldCharType="separate"/>
          </w:r>
          <w:r>
            <w:rPr>
              <w:rFonts w:hint="eastAsia"/>
              <w:sz w:val="22"/>
              <w:szCs w:val="28"/>
              <w:lang w:val="en-US" w:eastAsia="zh-CN"/>
            </w:rPr>
            <w:t>1.工程概况、招标内容、工期</w:t>
          </w:r>
          <w:r>
            <w:rPr>
              <w:sz w:val="22"/>
              <w:szCs w:val="22"/>
            </w:rPr>
            <w:tab/>
          </w:r>
          <w:r>
            <w:rPr>
              <w:sz w:val="22"/>
              <w:szCs w:val="22"/>
            </w:rPr>
            <w:fldChar w:fldCharType="begin"/>
          </w:r>
          <w:r>
            <w:rPr>
              <w:sz w:val="22"/>
              <w:szCs w:val="22"/>
            </w:rPr>
            <w:instrText xml:space="preserve"> PAGEREF _Toc15926 \h </w:instrText>
          </w:r>
          <w:r>
            <w:rPr>
              <w:sz w:val="22"/>
              <w:szCs w:val="22"/>
            </w:rPr>
            <w:fldChar w:fldCharType="separate"/>
          </w:r>
          <w:r>
            <w:rPr>
              <w:sz w:val="22"/>
              <w:szCs w:val="22"/>
            </w:rPr>
            <w:t>14</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_Toc32210 </w:instrText>
          </w:r>
          <w:r>
            <w:rPr>
              <w:sz w:val="22"/>
              <w:szCs w:val="22"/>
            </w:rPr>
            <w:fldChar w:fldCharType="separate"/>
          </w:r>
          <w:r>
            <w:rPr>
              <w:rFonts w:hint="eastAsia"/>
              <w:sz w:val="22"/>
              <w:szCs w:val="28"/>
              <w:lang w:val="en-US" w:eastAsia="zh-CN"/>
            </w:rPr>
            <w:t>2.投标人资格要求</w:t>
          </w:r>
          <w:r>
            <w:rPr>
              <w:sz w:val="22"/>
              <w:szCs w:val="22"/>
            </w:rPr>
            <w:tab/>
          </w:r>
          <w:r>
            <w:rPr>
              <w:sz w:val="22"/>
              <w:szCs w:val="22"/>
            </w:rPr>
            <w:fldChar w:fldCharType="begin"/>
          </w:r>
          <w:r>
            <w:rPr>
              <w:sz w:val="22"/>
              <w:szCs w:val="22"/>
            </w:rPr>
            <w:instrText xml:space="preserve"> PAGEREF _Toc32210 \h </w:instrText>
          </w:r>
          <w:r>
            <w:rPr>
              <w:sz w:val="22"/>
              <w:szCs w:val="22"/>
            </w:rPr>
            <w:fldChar w:fldCharType="separate"/>
          </w:r>
          <w:r>
            <w:rPr>
              <w:sz w:val="22"/>
              <w:szCs w:val="22"/>
            </w:rPr>
            <w:t>14</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_Toc10039 </w:instrText>
          </w:r>
          <w:r>
            <w:rPr>
              <w:sz w:val="22"/>
              <w:szCs w:val="22"/>
            </w:rPr>
            <w:fldChar w:fldCharType="separate"/>
          </w:r>
          <w:r>
            <w:rPr>
              <w:rFonts w:hint="eastAsia"/>
              <w:sz w:val="22"/>
              <w:szCs w:val="28"/>
              <w:lang w:val="en-US" w:eastAsia="zh-CN"/>
            </w:rPr>
            <w:t>3.物资名称、规格型号及数量标 ：</w:t>
          </w:r>
          <w:r>
            <w:rPr>
              <w:sz w:val="22"/>
              <w:szCs w:val="22"/>
            </w:rPr>
            <w:tab/>
          </w:r>
          <w:r>
            <w:rPr>
              <w:sz w:val="22"/>
              <w:szCs w:val="22"/>
            </w:rPr>
            <w:fldChar w:fldCharType="begin"/>
          </w:r>
          <w:r>
            <w:rPr>
              <w:sz w:val="22"/>
              <w:szCs w:val="22"/>
            </w:rPr>
            <w:instrText xml:space="preserve"> PAGEREF _Toc10039 \h </w:instrText>
          </w:r>
          <w:r>
            <w:rPr>
              <w:sz w:val="22"/>
              <w:szCs w:val="22"/>
            </w:rPr>
            <w:fldChar w:fldCharType="separate"/>
          </w:r>
          <w:r>
            <w:rPr>
              <w:sz w:val="22"/>
              <w:szCs w:val="22"/>
            </w:rPr>
            <w:t>15</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_Toc12427 </w:instrText>
          </w:r>
          <w:r>
            <w:rPr>
              <w:sz w:val="22"/>
              <w:szCs w:val="22"/>
            </w:rPr>
            <w:fldChar w:fldCharType="separate"/>
          </w:r>
          <w:r>
            <w:rPr>
              <w:rFonts w:hint="eastAsia"/>
              <w:sz w:val="22"/>
              <w:szCs w:val="28"/>
              <w:lang w:val="en-US" w:eastAsia="zh-CN"/>
            </w:rPr>
            <w:t>4.质量要求：</w:t>
          </w:r>
          <w:r>
            <w:rPr>
              <w:sz w:val="22"/>
              <w:szCs w:val="22"/>
            </w:rPr>
            <w:tab/>
          </w:r>
          <w:r>
            <w:rPr>
              <w:sz w:val="22"/>
              <w:szCs w:val="22"/>
            </w:rPr>
            <w:fldChar w:fldCharType="begin"/>
          </w:r>
          <w:r>
            <w:rPr>
              <w:sz w:val="22"/>
              <w:szCs w:val="22"/>
            </w:rPr>
            <w:instrText xml:space="preserve"> PAGEREF _Toc12427 \h </w:instrText>
          </w:r>
          <w:r>
            <w:rPr>
              <w:sz w:val="22"/>
              <w:szCs w:val="22"/>
            </w:rPr>
            <w:fldChar w:fldCharType="separate"/>
          </w:r>
          <w:r>
            <w:rPr>
              <w:sz w:val="22"/>
              <w:szCs w:val="22"/>
            </w:rPr>
            <w:t>16</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_Toc2423 </w:instrText>
          </w:r>
          <w:r>
            <w:rPr>
              <w:sz w:val="22"/>
              <w:szCs w:val="22"/>
            </w:rPr>
            <w:fldChar w:fldCharType="separate"/>
          </w:r>
          <w:r>
            <w:rPr>
              <w:rFonts w:hint="eastAsia"/>
              <w:sz w:val="22"/>
              <w:szCs w:val="28"/>
              <w:lang w:val="en-US" w:eastAsia="zh-CN"/>
            </w:rPr>
            <w:t>5.包装要求：</w:t>
          </w:r>
          <w:r>
            <w:rPr>
              <w:sz w:val="22"/>
              <w:szCs w:val="22"/>
            </w:rPr>
            <w:tab/>
          </w:r>
          <w:r>
            <w:rPr>
              <w:sz w:val="22"/>
              <w:szCs w:val="22"/>
            </w:rPr>
            <w:fldChar w:fldCharType="begin"/>
          </w:r>
          <w:r>
            <w:rPr>
              <w:sz w:val="22"/>
              <w:szCs w:val="22"/>
            </w:rPr>
            <w:instrText xml:space="preserve"> PAGEREF _Toc2423 \h </w:instrText>
          </w:r>
          <w:r>
            <w:rPr>
              <w:sz w:val="22"/>
              <w:szCs w:val="22"/>
            </w:rPr>
            <w:fldChar w:fldCharType="separate"/>
          </w:r>
          <w:r>
            <w:rPr>
              <w:sz w:val="22"/>
              <w:szCs w:val="22"/>
            </w:rPr>
            <w:t>17</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_Toc20393 </w:instrText>
          </w:r>
          <w:r>
            <w:rPr>
              <w:sz w:val="22"/>
              <w:szCs w:val="22"/>
            </w:rPr>
            <w:fldChar w:fldCharType="separate"/>
          </w:r>
          <w:r>
            <w:rPr>
              <w:rFonts w:hint="eastAsia"/>
              <w:sz w:val="22"/>
              <w:szCs w:val="28"/>
              <w:lang w:val="en-US" w:eastAsia="zh-CN"/>
            </w:rPr>
            <w:t>6.支付：</w:t>
          </w:r>
          <w:r>
            <w:rPr>
              <w:sz w:val="22"/>
              <w:szCs w:val="22"/>
            </w:rPr>
            <w:tab/>
          </w:r>
          <w:r>
            <w:rPr>
              <w:sz w:val="22"/>
              <w:szCs w:val="22"/>
            </w:rPr>
            <w:fldChar w:fldCharType="begin"/>
          </w:r>
          <w:r>
            <w:rPr>
              <w:sz w:val="22"/>
              <w:szCs w:val="22"/>
            </w:rPr>
            <w:instrText xml:space="preserve"> PAGEREF _Toc20393 \h </w:instrText>
          </w:r>
          <w:r>
            <w:rPr>
              <w:sz w:val="22"/>
              <w:szCs w:val="22"/>
            </w:rPr>
            <w:fldChar w:fldCharType="separate"/>
          </w:r>
          <w:r>
            <w:rPr>
              <w:sz w:val="22"/>
              <w:szCs w:val="22"/>
            </w:rPr>
            <w:t>17</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_Toc15133 </w:instrText>
          </w:r>
          <w:r>
            <w:rPr>
              <w:sz w:val="22"/>
              <w:szCs w:val="22"/>
            </w:rPr>
            <w:fldChar w:fldCharType="separate"/>
          </w:r>
          <w:r>
            <w:rPr>
              <w:rFonts w:hint="eastAsia"/>
              <w:sz w:val="22"/>
              <w:szCs w:val="40"/>
            </w:rPr>
            <w:t>第四章</w:t>
          </w:r>
          <w:r>
            <w:rPr>
              <w:rFonts w:hint="eastAsia"/>
              <w:sz w:val="22"/>
              <w:szCs w:val="40"/>
              <w:lang w:val="en-US" w:eastAsia="zh-CN"/>
            </w:rPr>
            <w:t xml:space="preserve">  </w:t>
          </w:r>
          <w:r>
            <w:rPr>
              <w:rFonts w:hint="eastAsia"/>
              <w:sz w:val="22"/>
              <w:szCs w:val="40"/>
            </w:rPr>
            <w:t xml:space="preserve"> 招标采购专用合同</w:t>
          </w:r>
          <w:r>
            <w:rPr>
              <w:sz w:val="22"/>
              <w:szCs w:val="22"/>
            </w:rPr>
            <w:tab/>
          </w:r>
          <w:r>
            <w:rPr>
              <w:sz w:val="22"/>
              <w:szCs w:val="22"/>
            </w:rPr>
            <w:fldChar w:fldCharType="begin"/>
          </w:r>
          <w:r>
            <w:rPr>
              <w:sz w:val="22"/>
              <w:szCs w:val="22"/>
            </w:rPr>
            <w:instrText xml:space="preserve"> PAGEREF _Toc15133 \h </w:instrText>
          </w:r>
          <w:r>
            <w:rPr>
              <w:sz w:val="22"/>
              <w:szCs w:val="22"/>
            </w:rPr>
            <w:fldChar w:fldCharType="separate"/>
          </w:r>
          <w:r>
            <w:rPr>
              <w:sz w:val="22"/>
              <w:szCs w:val="22"/>
            </w:rPr>
            <w:t>17</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_Toc19148 </w:instrText>
          </w:r>
          <w:r>
            <w:rPr>
              <w:sz w:val="22"/>
              <w:szCs w:val="22"/>
            </w:rPr>
            <w:fldChar w:fldCharType="separate"/>
          </w:r>
          <w:r>
            <w:rPr>
              <w:rFonts w:hint="default" w:eastAsia="宋体"/>
              <w:sz w:val="22"/>
              <w:szCs w:val="22"/>
              <w:lang w:eastAsia="zh-CN"/>
            </w:rPr>
            <w:t xml:space="preserve">1、 </w:t>
          </w:r>
          <w:r>
            <w:rPr>
              <w:rFonts w:eastAsia="宋体"/>
              <w:sz w:val="22"/>
              <w:szCs w:val="22"/>
              <w:lang w:eastAsia="zh-CN"/>
            </w:rPr>
            <w:t>定　义</w:t>
          </w:r>
          <w:r>
            <w:rPr>
              <w:sz w:val="22"/>
              <w:szCs w:val="22"/>
            </w:rPr>
            <w:tab/>
          </w:r>
          <w:r>
            <w:rPr>
              <w:sz w:val="22"/>
              <w:szCs w:val="22"/>
            </w:rPr>
            <w:fldChar w:fldCharType="begin"/>
          </w:r>
          <w:r>
            <w:rPr>
              <w:sz w:val="22"/>
              <w:szCs w:val="22"/>
            </w:rPr>
            <w:instrText xml:space="preserve"> PAGEREF _Toc19148 \h </w:instrText>
          </w:r>
          <w:r>
            <w:rPr>
              <w:sz w:val="22"/>
              <w:szCs w:val="22"/>
            </w:rPr>
            <w:fldChar w:fldCharType="separate"/>
          </w:r>
          <w:r>
            <w:rPr>
              <w:sz w:val="22"/>
              <w:szCs w:val="22"/>
            </w:rPr>
            <w:t>18</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_Toc9683 </w:instrText>
          </w:r>
          <w:r>
            <w:rPr>
              <w:sz w:val="22"/>
              <w:szCs w:val="22"/>
            </w:rPr>
            <w:fldChar w:fldCharType="separate"/>
          </w:r>
          <w:r>
            <w:rPr>
              <w:rFonts w:hint="default" w:eastAsia="宋体"/>
              <w:sz w:val="22"/>
              <w:szCs w:val="22"/>
              <w:lang w:eastAsia="zh-CN"/>
            </w:rPr>
            <w:t xml:space="preserve">2、 </w:t>
          </w:r>
          <w:r>
            <w:rPr>
              <w:rFonts w:eastAsia="宋体"/>
              <w:sz w:val="22"/>
              <w:szCs w:val="22"/>
              <w:lang w:eastAsia="zh-CN"/>
            </w:rPr>
            <w:t>合同</w:t>
          </w:r>
          <w:r>
            <w:rPr>
              <w:rFonts w:hint="eastAsia" w:eastAsia="宋体"/>
              <w:sz w:val="22"/>
              <w:szCs w:val="22"/>
              <w:lang w:eastAsia="zh-CN"/>
            </w:rPr>
            <w:t>标的物</w:t>
          </w:r>
          <w:r>
            <w:rPr>
              <w:sz w:val="22"/>
              <w:szCs w:val="22"/>
            </w:rPr>
            <w:tab/>
          </w:r>
          <w:r>
            <w:rPr>
              <w:sz w:val="22"/>
              <w:szCs w:val="22"/>
            </w:rPr>
            <w:fldChar w:fldCharType="begin"/>
          </w:r>
          <w:r>
            <w:rPr>
              <w:sz w:val="22"/>
              <w:szCs w:val="22"/>
            </w:rPr>
            <w:instrText xml:space="preserve"> PAGEREF _Toc9683 \h </w:instrText>
          </w:r>
          <w:r>
            <w:rPr>
              <w:sz w:val="22"/>
              <w:szCs w:val="22"/>
            </w:rPr>
            <w:fldChar w:fldCharType="separate"/>
          </w:r>
          <w:r>
            <w:rPr>
              <w:sz w:val="22"/>
              <w:szCs w:val="22"/>
            </w:rPr>
            <w:t>18</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_Toc11933 </w:instrText>
          </w:r>
          <w:r>
            <w:rPr>
              <w:sz w:val="22"/>
              <w:szCs w:val="22"/>
            </w:rPr>
            <w:fldChar w:fldCharType="separate"/>
          </w:r>
          <w:r>
            <w:rPr>
              <w:rFonts w:hint="default" w:eastAsia="宋体"/>
              <w:sz w:val="22"/>
              <w:szCs w:val="22"/>
              <w:lang w:eastAsia="zh-CN"/>
            </w:rPr>
            <w:t xml:space="preserve">3、 </w:t>
          </w:r>
          <w:r>
            <w:rPr>
              <w:rFonts w:eastAsia="宋体"/>
              <w:sz w:val="22"/>
              <w:szCs w:val="22"/>
              <w:lang w:eastAsia="zh-CN"/>
            </w:rPr>
            <w:t>合同价款支付</w:t>
          </w:r>
          <w:r>
            <w:rPr>
              <w:sz w:val="22"/>
              <w:szCs w:val="22"/>
            </w:rPr>
            <w:tab/>
          </w:r>
          <w:r>
            <w:rPr>
              <w:sz w:val="22"/>
              <w:szCs w:val="22"/>
            </w:rPr>
            <w:fldChar w:fldCharType="begin"/>
          </w:r>
          <w:r>
            <w:rPr>
              <w:sz w:val="22"/>
              <w:szCs w:val="22"/>
            </w:rPr>
            <w:instrText xml:space="preserve"> PAGEREF _Toc11933 \h </w:instrText>
          </w:r>
          <w:r>
            <w:rPr>
              <w:sz w:val="22"/>
              <w:szCs w:val="22"/>
            </w:rPr>
            <w:fldChar w:fldCharType="separate"/>
          </w:r>
          <w:r>
            <w:rPr>
              <w:sz w:val="22"/>
              <w:szCs w:val="22"/>
            </w:rPr>
            <w:t>19</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_Toc8719 </w:instrText>
          </w:r>
          <w:r>
            <w:rPr>
              <w:sz w:val="22"/>
              <w:szCs w:val="22"/>
            </w:rPr>
            <w:fldChar w:fldCharType="separate"/>
          </w:r>
          <w:r>
            <w:rPr>
              <w:rFonts w:hint="default" w:eastAsia="宋体"/>
              <w:sz w:val="22"/>
              <w:szCs w:val="22"/>
              <w:lang w:eastAsia="zh-CN"/>
            </w:rPr>
            <w:t xml:space="preserve">4、 </w:t>
          </w:r>
          <w:r>
            <w:rPr>
              <w:rFonts w:eastAsia="宋体"/>
              <w:sz w:val="22"/>
              <w:szCs w:val="22"/>
              <w:lang w:eastAsia="zh-CN"/>
            </w:rPr>
            <w:t>使用合同文件和资料</w:t>
          </w:r>
          <w:r>
            <w:rPr>
              <w:sz w:val="22"/>
              <w:szCs w:val="22"/>
            </w:rPr>
            <w:tab/>
          </w:r>
          <w:r>
            <w:rPr>
              <w:sz w:val="22"/>
              <w:szCs w:val="22"/>
            </w:rPr>
            <w:fldChar w:fldCharType="begin"/>
          </w:r>
          <w:r>
            <w:rPr>
              <w:sz w:val="22"/>
              <w:szCs w:val="22"/>
            </w:rPr>
            <w:instrText xml:space="preserve"> PAGEREF _Toc8719 \h </w:instrText>
          </w:r>
          <w:r>
            <w:rPr>
              <w:sz w:val="22"/>
              <w:szCs w:val="22"/>
            </w:rPr>
            <w:fldChar w:fldCharType="separate"/>
          </w:r>
          <w:r>
            <w:rPr>
              <w:sz w:val="22"/>
              <w:szCs w:val="22"/>
            </w:rPr>
            <w:t>19</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_Toc19450 </w:instrText>
          </w:r>
          <w:r>
            <w:rPr>
              <w:sz w:val="22"/>
              <w:szCs w:val="22"/>
            </w:rPr>
            <w:fldChar w:fldCharType="separate"/>
          </w:r>
          <w:r>
            <w:rPr>
              <w:rFonts w:hint="default" w:eastAsia="宋体"/>
              <w:sz w:val="22"/>
              <w:szCs w:val="22"/>
              <w:lang w:eastAsia="zh-CN"/>
            </w:rPr>
            <w:t xml:space="preserve">5、 </w:t>
          </w:r>
          <w:r>
            <w:rPr>
              <w:rFonts w:eastAsia="宋体"/>
              <w:sz w:val="22"/>
              <w:szCs w:val="22"/>
              <w:lang w:eastAsia="zh-CN"/>
            </w:rPr>
            <w:t>交货验收</w:t>
          </w:r>
          <w:r>
            <w:rPr>
              <w:sz w:val="22"/>
              <w:szCs w:val="22"/>
            </w:rPr>
            <w:tab/>
          </w:r>
          <w:r>
            <w:rPr>
              <w:sz w:val="22"/>
              <w:szCs w:val="22"/>
            </w:rPr>
            <w:fldChar w:fldCharType="begin"/>
          </w:r>
          <w:r>
            <w:rPr>
              <w:sz w:val="22"/>
              <w:szCs w:val="22"/>
            </w:rPr>
            <w:instrText xml:space="preserve"> PAGEREF _Toc19450 \h </w:instrText>
          </w:r>
          <w:r>
            <w:rPr>
              <w:sz w:val="22"/>
              <w:szCs w:val="22"/>
            </w:rPr>
            <w:fldChar w:fldCharType="separate"/>
          </w:r>
          <w:r>
            <w:rPr>
              <w:sz w:val="22"/>
              <w:szCs w:val="22"/>
            </w:rPr>
            <w:t>19</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_Toc30820 </w:instrText>
          </w:r>
          <w:r>
            <w:rPr>
              <w:sz w:val="22"/>
              <w:szCs w:val="22"/>
            </w:rPr>
            <w:fldChar w:fldCharType="separate"/>
          </w:r>
          <w:r>
            <w:rPr>
              <w:rFonts w:hint="default" w:eastAsia="宋体"/>
              <w:sz w:val="22"/>
              <w:szCs w:val="22"/>
              <w:lang w:eastAsia="zh-CN"/>
            </w:rPr>
            <w:t xml:space="preserve">6、 </w:t>
          </w:r>
          <w:r>
            <w:rPr>
              <w:rFonts w:eastAsia="宋体"/>
              <w:sz w:val="22"/>
              <w:szCs w:val="22"/>
              <w:lang w:eastAsia="zh-CN"/>
            </w:rPr>
            <w:t>包装及运输</w:t>
          </w:r>
          <w:r>
            <w:rPr>
              <w:sz w:val="22"/>
              <w:szCs w:val="22"/>
            </w:rPr>
            <w:tab/>
          </w:r>
          <w:r>
            <w:rPr>
              <w:sz w:val="22"/>
              <w:szCs w:val="22"/>
            </w:rPr>
            <w:fldChar w:fldCharType="begin"/>
          </w:r>
          <w:r>
            <w:rPr>
              <w:sz w:val="22"/>
              <w:szCs w:val="22"/>
            </w:rPr>
            <w:instrText xml:space="preserve"> PAGEREF _Toc30820 \h </w:instrText>
          </w:r>
          <w:r>
            <w:rPr>
              <w:sz w:val="22"/>
              <w:szCs w:val="22"/>
            </w:rPr>
            <w:fldChar w:fldCharType="separate"/>
          </w:r>
          <w:r>
            <w:rPr>
              <w:sz w:val="22"/>
              <w:szCs w:val="22"/>
            </w:rPr>
            <w:t>20</w:t>
          </w:r>
          <w:r>
            <w:rPr>
              <w:sz w:val="22"/>
              <w:szCs w:val="22"/>
            </w:rPr>
            <w:fldChar w:fldCharType="end"/>
          </w:r>
          <w:r>
            <w:rPr>
              <w:sz w:val="22"/>
              <w:szCs w:val="22"/>
            </w:rPr>
            <w:fldChar w:fldCharType="end"/>
          </w:r>
        </w:p>
        <w:p>
          <w:pPr>
            <w:pStyle w:val="34"/>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_Toc4047 </w:instrText>
          </w:r>
          <w:r>
            <w:rPr>
              <w:sz w:val="22"/>
              <w:szCs w:val="22"/>
            </w:rPr>
            <w:fldChar w:fldCharType="separate"/>
          </w:r>
          <w:r>
            <w:rPr>
              <w:rFonts w:hint="default" w:eastAsia="宋体"/>
              <w:sz w:val="22"/>
              <w:szCs w:val="22"/>
              <w:lang w:eastAsia="zh-CN"/>
            </w:rPr>
            <w:t xml:space="preserve">7、 </w:t>
          </w:r>
          <w:r>
            <w:rPr>
              <w:rFonts w:eastAsia="宋体"/>
              <w:sz w:val="22"/>
              <w:szCs w:val="22"/>
              <w:lang w:eastAsia="zh-CN"/>
            </w:rPr>
            <w:t>知识产权</w:t>
          </w:r>
          <w:r>
            <w:rPr>
              <w:sz w:val="22"/>
              <w:szCs w:val="22"/>
            </w:rPr>
            <w:tab/>
          </w:r>
          <w:r>
            <w:rPr>
              <w:sz w:val="22"/>
              <w:szCs w:val="22"/>
            </w:rPr>
            <w:fldChar w:fldCharType="begin"/>
          </w:r>
          <w:r>
            <w:rPr>
              <w:sz w:val="22"/>
              <w:szCs w:val="22"/>
            </w:rPr>
            <w:instrText xml:space="preserve"> PAGEREF _Toc4047 \h </w:instrText>
          </w:r>
          <w:r>
            <w:rPr>
              <w:sz w:val="22"/>
              <w:szCs w:val="22"/>
            </w:rPr>
            <w:fldChar w:fldCharType="separate"/>
          </w:r>
          <w:r>
            <w:rPr>
              <w:sz w:val="22"/>
              <w:szCs w:val="22"/>
            </w:rPr>
            <w:t>20</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ind w:firstLine="440" w:firstLineChars="200"/>
            <w:textAlignment w:val="auto"/>
            <w:rPr>
              <w:sz w:val="22"/>
              <w:szCs w:val="22"/>
            </w:rPr>
          </w:pPr>
          <w:r>
            <w:rPr>
              <w:sz w:val="22"/>
              <w:szCs w:val="22"/>
            </w:rPr>
            <w:fldChar w:fldCharType="begin"/>
          </w:r>
          <w:r>
            <w:rPr>
              <w:sz w:val="22"/>
              <w:szCs w:val="22"/>
            </w:rPr>
            <w:instrText xml:space="preserve"> HYPERLINK \l _Toc5814 </w:instrText>
          </w:r>
          <w:r>
            <w:rPr>
              <w:sz w:val="22"/>
              <w:szCs w:val="22"/>
            </w:rPr>
            <w:fldChar w:fldCharType="separate"/>
          </w:r>
          <w:r>
            <w:rPr>
              <w:rFonts w:hint="default" w:eastAsia="宋体"/>
              <w:sz w:val="22"/>
              <w:szCs w:val="22"/>
              <w:lang w:eastAsia="zh-CN"/>
            </w:rPr>
            <w:t xml:space="preserve">8、 </w:t>
          </w:r>
          <w:r>
            <w:rPr>
              <w:rFonts w:eastAsia="宋体"/>
              <w:sz w:val="22"/>
              <w:szCs w:val="22"/>
              <w:lang w:eastAsia="zh-CN"/>
            </w:rPr>
            <w:t>不可抗力</w:t>
          </w:r>
          <w:r>
            <w:rPr>
              <w:sz w:val="22"/>
              <w:szCs w:val="22"/>
            </w:rPr>
            <w:tab/>
          </w:r>
          <w:r>
            <w:rPr>
              <w:sz w:val="22"/>
              <w:szCs w:val="22"/>
            </w:rPr>
            <w:fldChar w:fldCharType="begin"/>
          </w:r>
          <w:r>
            <w:rPr>
              <w:sz w:val="22"/>
              <w:szCs w:val="22"/>
            </w:rPr>
            <w:instrText xml:space="preserve"> PAGEREF _Toc5814 \h </w:instrText>
          </w:r>
          <w:r>
            <w:rPr>
              <w:sz w:val="22"/>
              <w:szCs w:val="22"/>
            </w:rPr>
            <w:fldChar w:fldCharType="separate"/>
          </w:r>
          <w:r>
            <w:rPr>
              <w:sz w:val="22"/>
              <w:szCs w:val="22"/>
            </w:rPr>
            <w:t>20</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ind w:firstLine="440" w:firstLineChars="200"/>
            <w:textAlignment w:val="auto"/>
            <w:rPr>
              <w:sz w:val="22"/>
              <w:szCs w:val="22"/>
            </w:rPr>
          </w:pPr>
          <w:r>
            <w:rPr>
              <w:sz w:val="22"/>
              <w:szCs w:val="22"/>
            </w:rPr>
            <w:fldChar w:fldCharType="begin"/>
          </w:r>
          <w:r>
            <w:rPr>
              <w:sz w:val="22"/>
              <w:szCs w:val="22"/>
            </w:rPr>
            <w:instrText xml:space="preserve"> HYPERLINK \l _Toc22690 </w:instrText>
          </w:r>
          <w:r>
            <w:rPr>
              <w:sz w:val="22"/>
              <w:szCs w:val="22"/>
            </w:rPr>
            <w:fldChar w:fldCharType="separate"/>
          </w:r>
          <w:r>
            <w:rPr>
              <w:rFonts w:hint="default" w:eastAsia="宋体"/>
              <w:sz w:val="22"/>
              <w:szCs w:val="22"/>
              <w:lang w:eastAsia="zh-CN"/>
            </w:rPr>
            <w:t xml:space="preserve">9、 </w:t>
          </w:r>
          <w:r>
            <w:rPr>
              <w:rFonts w:eastAsia="宋体"/>
              <w:sz w:val="22"/>
              <w:szCs w:val="22"/>
              <w:lang w:eastAsia="zh-CN"/>
            </w:rPr>
            <w:t>合同变更与修改</w:t>
          </w:r>
          <w:r>
            <w:rPr>
              <w:sz w:val="22"/>
              <w:szCs w:val="22"/>
            </w:rPr>
            <w:tab/>
          </w:r>
          <w:r>
            <w:rPr>
              <w:sz w:val="22"/>
              <w:szCs w:val="22"/>
            </w:rPr>
            <w:fldChar w:fldCharType="begin"/>
          </w:r>
          <w:r>
            <w:rPr>
              <w:sz w:val="22"/>
              <w:szCs w:val="22"/>
            </w:rPr>
            <w:instrText xml:space="preserve"> PAGEREF _Toc22690 \h </w:instrText>
          </w:r>
          <w:r>
            <w:rPr>
              <w:sz w:val="22"/>
              <w:szCs w:val="22"/>
            </w:rPr>
            <w:fldChar w:fldCharType="separate"/>
          </w:r>
          <w:r>
            <w:rPr>
              <w:sz w:val="22"/>
              <w:szCs w:val="22"/>
            </w:rPr>
            <w:t>21</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ind w:firstLine="440" w:firstLineChars="200"/>
            <w:textAlignment w:val="auto"/>
            <w:rPr>
              <w:sz w:val="22"/>
              <w:szCs w:val="22"/>
            </w:rPr>
          </w:pPr>
          <w:r>
            <w:rPr>
              <w:sz w:val="22"/>
              <w:szCs w:val="22"/>
            </w:rPr>
            <w:fldChar w:fldCharType="begin"/>
          </w:r>
          <w:r>
            <w:rPr>
              <w:sz w:val="22"/>
              <w:szCs w:val="22"/>
            </w:rPr>
            <w:instrText xml:space="preserve"> HYPERLINK \l _Toc3339 </w:instrText>
          </w:r>
          <w:r>
            <w:rPr>
              <w:sz w:val="22"/>
              <w:szCs w:val="22"/>
            </w:rPr>
            <w:fldChar w:fldCharType="separate"/>
          </w:r>
          <w:r>
            <w:rPr>
              <w:rFonts w:hint="default" w:eastAsia="宋体"/>
              <w:sz w:val="22"/>
              <w:szCs w:val="22"/>
              <w:lang w:eastAsia="zh-CN"/>
            </w:rPr>
            <w:t xml:space="preserve">10、 </w:t>
          </w:r>
          <w:r>
            <w:rPr>
              <w:rFonts w:eastAsia="宋体"/>
              <w:sz w:val="22"/>
              <w:szCs w:val="22"/>
              <w:lang w:eastAsia="zh-CN"/>
            </w:rPr>
            <w:t>质量保证与违约索赔</w:t>
          </w:r>
          <w:r>
            <w:rPr>
              <w:sz w:val="22"/>
              <w:szCs w:val="22"/>
            </w:rPr>
            <w:tab/>
          </w:r>
          <w:r>
            <w:rPr>
              <w:sz w:val="22"/>
              <w:szCs w:val="22"/>
            </w:rPr>
            <w:fldChar w:fldCharType="begin"/>
          </w:r>
          <w:r>
            <w:rPr>
              <w:sz w:val="22"/>
              <w:szCs w:val="22"/>
            </w:rPr>
            <w:instrText xml:space="preserve"> PAGEREF _Toc3339 \h </w:instrText>
          </w:r>
          <w:r>
            <w:rPr>
              <w:sz w:val="22"/>
              <w:szCs w:val="22"/>
            </w:rPr>
            <w:fldChar w:fldCharType="separate"/>
          </w:r>
          <w:r>
            <w:rPr>
              <w:sz w:val="22"/>
              <w:szCs w:val="22"/>
            </w:rPr>
            <w:t>21</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ind w:firstLine="440" w:firstLineChars="200"/>
            <w:textAlignment w:val="auto"/>
            <w:rPr>
              <w:sz w:val="22"/>
              <w:szCs w:val="22"/>
            </w:rPr>
          </w:pPr>
          <w:r>
            <w:rPr>
              <w:sz w:val="22"/>
              <w:szCs w:val="22"/>
            </w:rPr>
            <w:fldChar w:fldCharType="begin"/>
          </w:r>
          <w:r>
            <w:rPr>
              <w:sz w:val="22"/>
              <w:szCs w:val="22"/>
            </w:rPr>
            <w:instrText xml:space="preserve"> HYPERLINK \l _Toc29366 </w:instrText>
          </w:r>
          <w:r>
            <w:rPr>
              <w:sz w:val="22"/>
              <w:szCs w:val="22"/>
            </w:rPr>
            <w:fldChar w:fldCharType="separate"/>
          </w:r>
          <w:r>
            <w:rPr>
              <w:rFonts w:hint="default" w:eastAsia="宋体"/>
              <w:sz w:val="22"/>
              <w:szCs w:val="22"/>
              <w:lang w:eastAsia="zh-CN"/>
            </w:rPr>
            <w:t xml:space="preserve">11、 </w:t>
          </w:r>
          <w:r>
            <w:rPr>
              <w:rFonts w:eastAsia="宋体"/>
              <w:sz w:val="22"/>
              <w:szCs w:val="22"/>
              <w:lang w:eastAsia="zh-CN"/>
            </w:rPr>
            <w:t>合同解除和终止</w:t>
          </w:r>
          <w:r>
            <w:rPr>
              <w:sz w:val="22"/>
              <w:szCs w:val="22"/>
            </w:rPr>
            <w:tab/>
          </w:r>
          <w:r>
            <w:rPr>
              <w:sz w:val="22"/>
              <w:szCs w:val="22"/>
            </w:rPr>
            <w:fldChar w:fldCharType="begin"/>
          </w:r>
          <w:r>
            <w:rPr>
              <w:sz w:val="22"/>
              <w:szCs w:val="22"/>
            </w:rPr>
            <w:instrText xml:space="preserve"> PAGEREF _Toc29366 \h </w:instrText>
          </w:r>
          <w:r>
            <w:rPr>
              <w:sz w:val="22"/>
              <w:szCs w:val="22"/>
            </w:rPr>
            <w:fldChar w:fldCharType="separate"/>
          </w:r>
          <w:r>
            <w:rPr>
              <w:sz w:val="22"/>
              <w:szCs w:val="22"/>
            </w:rPr>
            <w:t>22</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ind w:firstLine="440" w:firstLineChars="200"/>
            <w:textAlignment w:val="auto"/>
            <w:rPr>
              <w:sz w:val="22"/>
              <w:szCs w:val="22"/>
            </w:rPr>
          </w:pPr>
          <w:r>
            <w:rPr>
              <w:sz w:val="22"/>
              <w:szCs w:val="22"/>
            </w:rPr>
            <w:fldChar w:fldCharType="begin"/>
          </w:r>
          <w:r>
            <w:rPr>
              <w:sz w:val="22"/>
              <w:szCs w:val="22"/>
            </w:rPr>
            <w:instrText xml:space="preserve"> HYPERLINK \l _Toc9391 </w:instrText>
          </w:r>
          <w:r>
            <w:rPr>
              <w:sz w:val="22"/>
              <w:szCs w:val="22"/>
            </w:rPr>
            <w:fldChar w:fldCharType="separate"/>
          </w:r>
          <w:r>
            <w:rPr>
              <w:rFonts w:hint="default" w:eastAsia="宋体"/>
              <w:sz w:val="22"/>
              <w:szCs w:val="22"/>
              <w:lang w:eastAsia="zh-CN"/>
            </w:rPr>
            <w:t xml:space="preserve">12、 </w:t>
          </w:r>
          <w:r>
            <w:rPr>
              <w:rFonts w:eastAsia="宋体"/>
              <w:sz w:val="22"/>
              <w:szCs w:val="22"/>
              <w:lang w:eastAsia="zh-CN"/>
            </w:rPr>
            <w:t>争议解决</w:t>
          </w:r>
          <w:r>
            <w:rPr>
              <w:sz w:val="22"/>
              <w:szCs w:val="22"/>
            </w:rPr>
            <w:tab/>
          </w:r>
          <w:r>
            <w:rPr>
              <w:sz w:val="22"/>
              <w:szCs w:val="22"/>
            </w:rPr>
            <w:fldChar w:fldCharType="begin"/>
          </w:r>
          <w:r>
            <w:rPr>
              <w:sz w:val="22"/>
              <w:szCs w:val="22"/>
            </w:rPr>
            <w:instrText xml:space="preserve"> PAGEREF _Toc9391 \h </w:instrText>
          </w:r>
          <w:r>
            <w:rPr>
              <w:sz w:val="22"/>
              <w:szCs w:val="22"/>
            </w:rPr>
            <w:fldChar w:fldCharType="separate"/>
          </w:r>
          <w:r>
            <w:rPr>
              <w:sz w:val="22"/>
              <w:szCs w:val="22"/>
            </w:rPr>
            <w:t>23</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ind w:firstLine="440" w:firstLineChars="200"/>
            <w:textAlignment w:val="auto"/>
            <w:rPr>
              <w:sz w:val="22"/>
              <w:szCs w:val="22"/>
            </w:rPr>
          </w:pPr>
          <w:r>
            <w:rPr>
              <w:sz w:val="22"/>
              <w:szCs w:val="22"/>
            </w:rPr>
            <w:fldChar w:fldCharType="begin"/>
          </w:r>
          <w:r>
            <w:rPr>
              <w:sz w:val="22"/>
              <w:szCs w:val="22"/>
            </w:rPr>
            <w:instrText xml:space="preserve"> HYPERLINK \l _Toc25285 </w:instrText>
          </w:r>
          <w:r>
            <w:rPr>
              <w:sz w:val="22"/>
              <w:szCs w:val="22"/>
            </w:rPr>
            <w:fldChar w:fldCharType="separate"/>
          </w:r>
          <w:r>
            <w:rPr>
              <w:rFonts w:hint="default" w:eastAsia="宋体"/>
              <w:sz w:val="22"/>
              <w:szCs w:val="22"/>
              <w:lang w:eastAsia="zh-CN"/>
            </w:rPr>
            <w:t xml:space="preserve">13、 </w:t>
          </w:r>
          <w:r>
            <w:rPr>
              <w:rFonts w:eastAsia="宋体"/>
              <w:sz w:val="22"/>
              <w:szCs w:val="22"/>
              <w:lang w:eastAsia="zh-CN"/>
            </w:rPr>
            <w:t>附则</w:t>
          </w:r>
          <w:r>
            <w:rPr>
              <w:sz w:val="22"/>
              <w:szCs w:val="22"/>
            </w:rPr>
            <w:tab/>
          </w:r>
          <w:r>
            <w:rPr>
              <w:sz w:val="22"/>
              <w:szCs w:val="22"/>
            </w:rPr>
            <w:fldChar w:fldCharType="begin"/>
          </w:r>
          <w:r>
            <w:rPr>
              <w:sz w:val="22"/>
              <w:szCs w:val="22"/>
            </w:rPr>
            <w:instrText xml:space="preserve"> PAGEREF _Toc25285 \h </w:instrText>
          </w:r>
          <w:r>
            <w:rPr>
              <w:sz w:val="22"/>
              <w:szCs w:val="22"/>
            </w:rPr>
            <w:fldChar w:fldCharType="separate"/>
          </w:r>
          <w:r>
            <w:rPr>
              <w:sz w:val="22"/>
              <w:szCs w:val="22"/>
            </w:rPr>
            <w:t>23</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_Toc14797 </w:instrText>
          </w:r>
          <w:r>
            <w:rPr>
              <w:sz w:val="22"/>
              <w:szCs w:val="22"/>
            </w:rPr>
            <w:fldChar w:fldCharType="separate"/>
          </w:r>
          <w:r>
            <w:rPr>
              <w:rFonts w:hint="eastAsia" w:asciiTheme="minorEastAsia" w:hAnsiTheme="minorEastAsia"/>
              <w:bCs/>
              <w:sz w:val="22"/>
              <w:szCs w:val="44"/>
            </w:rPr>
            <w:t>第五章</w:t>
          </w:r>
          <w:r>
            <w:rPr>
              <w:rFonts w:hint="eastAsia" w:asciiTheme="minorEastAsia" w:hAnsiTheme="minorEastAsia"/>
              <w:bCs/>
              <w:sz w:val="22"/>
              <w:szCs w:val="44"/>
              <w:lang w:val="en-US" w:eastAsia="zh-CN"/>
            </w:rPr>
            <w:t xml:space="preserve">   </w:t>
          </w:r>
          <w:r>
            <w:rPr>
              <w:rFonts w:hint="eastAsia" w:asciiTheme="minorEastAsia" w:hAnsiTheme="minorEastAsia"/>
              <w:bCs/>
              <w:sz w:val="22"/>
              <w:szCs w:val="44"/>
            </w:rPr>
            <w:t>投标文件格式及附件</w:t>
          </w:r>
          <w:r>
            <w:rPr>
              <w:sz w:val="22"/>
              <w:szCs w:val="22"/>
            </w:rPr>
            <w:tab/>
          </w:r>
          <w:r>
            <w:rPr>
              <w:sz w:val="22"/>
              <w:szCs w:val="22"/>
            </w:rPr>
            <w:fldChar w:fldCharType="begin"/>
          </w:r>
          <w:r>
            <w:rPr>
              <w:sz w:val="22"/>
              <w:szCs w:val="22"/>
            </w:rPr>
            <w:instrText xml:space="preserve"> PAGEREF _Toc14797 \h </w:instrText>
          </w:r>
          <w:r>
            <w:rPr>
              <w:sz w:val="22"/>
              <w:szCs w:val="22"/>
            </w:rPr>
            <w:fldChar w:fldCharType="separate"/>
          </w:r>
          <w:r>
            <w:rPr>
              <w:sz w:val="22"/>
              <w:szCs w:val="22"/>
            </w:rPr>
            <w:t>25</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_Toc9633 </w:instrText>
          </w:r>
          <w:r>
            <w:rPr>
              <w:sz w:val="22"/>
              <w:szCs w:val="22"/>
            </w:rPr>
            <w:fldChar w:fldCharType="separate"/>
          </w:r>
          <w:r>
            <w:rPr>
              <w:rFonts w:hint="eastAsia"/>
              <w:sz w:val="22"/>
              <w:szCs w:val="22"/>
              <w:lang w:val="en-US" w:eastAsia="zh-CN"/>
            </w:rPr>
            <w:t>附件一</w:t>
          </w:r>
          <w:r>
            <w:rPr>
              <w:rFonts w:hint="eastAsia"/>
              <w:sz w:val="22"/>
              <w:szCs w:val="22"/>
            </w:rPr>
            <w:t xml:space="preserve"> </w:t>
          </w:r>
          <w:r>
            <w:rPr>
              <w:rFonts w:asciiTheme="minorEastAsia" w:hAnsiTheme="minorEastAsia"/>
              <w:sz w:val="22"/>
              <w:szCs w:val="22"/>
            </w:rPr>
            <w:t>投标保证书</w:t>
          </w:r>
          <w:r>
            <w:rPr>
              <w:sz w:val="22"/>
              <w:szCs w:val="22"/>
            </w:rPr>
            <w:tab/>
          </w:r>
          <w:r>
            <w:rPr>
              <w:sz w:val="22"/>
              <w:szCs w:val="22"/>
            </w:rPr>
            <w:fldChar w:fldCharType="begin"/>
          </w:r>
          <w:r>
            <w:rPr>
              <w:sz w:val="22"/>
              <w:szCs w:val="22"/>
            </w:rPr>
            <w:instrText xml:space="preserve"> PAGEREF _Toc9633 \h </w:instrText>
          </w:r>
          <w:r>
            <w:rPr>
              <w:sz w:val="22"/>
              <w:szCs w:val="22"/>
            </w:rPr>
            <w:fldChar w:fldCharType="separate"/>
          </w:r>
          <w:r>
            <w:rPr>
              <w:sz w:val="22"/>
              <w:szCs w:val="22"/>
            </w:rPr>
            <w:t>26</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_Toc27517 </w:instrText>
          </w:r>
          <w:r>
            <w:rPr>
              <w:sz w:val="22"/>
              <w:szCs w:val="22"/>
            </w:rPr>
            <w:fldChar w:fldCharType="separate"/>
          </w:r>
          <w:r>
            <w:rPr>
              <w:rFonts w:hint="eastAsia"/>
              <w:sz w:val="22"/>
              <w:szCs w:val="22"/>
              <w:lang w:val="en-US" w:eastAsia="zh-CN"/>
            </w:rPr>
            <w:t xml:space="preserve">附件二 </w:t>
          </w:r>
          <w:r>
            <w:rPr>
              <w:rFonts w:asciiTheme="minorEastAsia" w:hAnsiTheme="minorEastAsia"/>
              <w:sz w:val="22"/>
              <w:szCs w:val="22"/>
            </w:rPr>
            <w:t>法</w:t>
          </w:r>
          <w:r>
            <w:rPr>
              <w:rFonts w:hint="eastAsia" w:asciiTheme="minorEastAsia" w:hAnsiTheme="minorEastAsia"/>
              <w:sz w:val="22"/>
              <w:szCs w:val="22"/>
            </w:rPr>
            <w:t>定</w:t>
          </w:r>
          <w:r>
            <w:rPr>
              <w:rFonts w:asciiTheme="minorEastAsia" w:hAnsiTheme="minorEastAsia"/>
              <w:sz w:val="22"/>
              <w:szCs w:val="22"/>
            </w:rPr>
            <w:t>代表</w:t>
          </w:r>
          <w:r>
            <w:rPr>
              <w:rFonts w:hint="eastAsia" w:asciiTheme="minorEastAsia" w:hAnsiTheme="minorEastAsia"/>
              <w:sz w:val="22"/>
              <w:szCs w:val="22"/>
            </w:rPr>
            <w:t>人</w:t>
          </w:r>
          <w:r>
            <w:rPr>
              <w:rFonts w:asciiTheme="minorEastAsia" w:hAnsiTheme="minorEastAsia"/>
              <w:sz w:val="22"/>
              <w:szCs w:val="22"/>
            </w:rPr>
            <w:t>授权</w:t>
          </w:r>
          <w:r>
            <w:rPr>
              <w:rFonts w:hint="eastAsia" w:asciiTheme="minorEastAsia" w:hAnsiTheme="minorEastAsia"/>
              <w:sz w:val="22"/>
              <w:szCs w:val="22"/>
            </w:rPr>
            <w:t>委托</w:t>
          </w:r>
          <w:r>
            <w:rPr>
              <w:rFonts w:asciiTheme="minorEastAsia" w:hAnsiTheme="minorEastAsia"/>
              <w:sz w:val="22"/>
              <w:szCs w:val="22"/>
            </w:rPr>
            <w:t>书</w:t>
          </w:r>
          <w:r>
            <w:rPr>
              <w:sz w:val="22"/>
              <w:szCs w:val="22"/>
            </w:rPr>
            <w:tab/>
          </w:r>
          <w:r>
            <w:rPr>
              <w:sz w:val="22"/>
              <w:szCs w:val="22"/>
            </w:rPr>
            <w:fldChar w:fldCharType="begin"/>
          </w:r>
          <w:r>
            <w:rPr>
              <w:sz w:val="22"/>
              <w:szCs w:val="22"/>
            </w:rPr>
            <w:instrText xml:space="preserve"> PAGEREF _Toc27517 \h </w:instrText>
          </w:r>
          <w:r>
            <w:rPr>
              <w:sz w:val="22"/>
              <w:szCs w:val="22"/>
            </w:rPr>
            <w:fldChar w:fldCharType="separate"/>
          </w:r>
          <w:r>
            <w:rPr>
              <w:sz w:val="22"/>
              <w:szCs w:val="22"/>
            </w:rPr>
            <w:t>27</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_Toc17520 </w:instrText>
          </w:r>
          <w:r>
            <w:rPr>
              <w:sz w:val="22"/>
              <w:szCs w:val="22"/>
            </w:rPr>
            <w:fldChar w:fldCharType="separate"/>
          </w:r>
          <w:r>
            <w:rPr>
              <w:rFonts w:hint="eastAsia"/>
              <w:sz w:val="22"/>
              <w:szCs w:val="22"/>
              <w:lang w:val="en-US" w:eastAsia="zh-CN"/>
            </w:rPr>
            <w:t>附件三</w:t>
          </w:r>
          <w:r>
            <w:rPr>
              <w:sz w:val="22"/>
              <w:szCs w:val="22"/>
            </w:rPr>
            <w:t xml:space="preserve"> </w:t>
          </w:r>
          <w:r>
            <w:rPr>
              <w:rFonts w:asciiTheme="minorEastAsia" w:hAnsiTheme="minorEastAsia"/>
              <w:sz w:val="22"/>
              <w:szCs w:val="22"/>
            </w:rPr>
            <w:t>招标项目及报价</w:t>
          </w:r>
          <w:r>
            <w:rPr>
              <w:sz w:val="22"/>
              <w:szCs w:val="22"/>
            </w:rPr>
            <w:tab/>
          </w:r>
          <w:r>
            <w:rPr>
              <w:sz w:val="22"/>
              <w:szCs w:val="22"/>
            </w:rPr>
            <w:fldChar w:fldCharType="begin"/>
          </w:r>
          <w:r>
            <w:rPr>
              <w:sz w:val="22"/>
              <w:szCs w:val="22"/>
            </w:rPr>
            <w:instrText xml:space="preserve"> PAGEREF _Toc17520 \h </w:instrText>
          </w:r>
          <w:r>
            <w:rPr>
              <w:sz w:val="22"/>
              <w:szCs w:val="22"/>
            </w:rPr>
            <w:fldChar w:fldCharType="separate"/>
          </w:r>
          <w:r>
            <w:rPr>
              <w:sz w:val="22"/>
              <w:szCs w:val="22"/>
            </w:rPr>
            <w:t>28</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_Toc12338 </w:instrText>
          </w:r>
          <w:r>
            <w:rPr>
              <w:sz w:val="22"/>
              <w:szCs w:val="22"/>
            </w:rPr>
            <w:fldChar w:fldCharType="separate"/>
          </w:r>
          <w:r>
            <w:rPr>
              <w:rFonts w:hint="eastAsia"/>
              <w:sz w:val="22"/>
              <w:szCs w:val="22"/>
              <w:lang w:val="en-US" w:eastAsia="zh-CN"/>
            </w:rPr>
            <w:t>附件四</w:t>
          </w:r>
          <w:r>
            <w:rPr>
              <w:sz w:val="22"/>
              <w:szCs w:val="22"/>
            </w:rPr>
            <w:t xml:space="preserve"> </w:t>
          </w:r>
          <w:r>
            <w:rPr>
              <w:rFonts w:asciiTheme="minorEastAsia" w:hAnsiTheme="minorEastAsia"/>
              <w:sz w:val="22"/>
              <w:szCs w:val="22"/>
            </w:rPr>
            <w:t>关于资格的声明函</w:t>
          </w:r>
          <w:r>
            <w:rPr>
              <w:sz w:val="22"/>
              <w:szCs w:val="22"/>
            </w:rPr>
            <w:tab/>
          </w:r>
          <w:r>
            <w:rPr>
              <w:sz w:val="22"/>
              <w:szCs w:val="22"/>
            </w:rPr>
            <w:fldChar w:fldCharType="begin"/>
          </w:r>
          <w:r>
            <w:rPr>
              <w:sz w:val="22"/>
              <w:szCs w:val="22"/>
            </w:rPr>
            <w:instrText xml:space="preserve"> PAGEREF _Toc12338 \h </w:instrText>
          </w:r>
          <w:r>
            <w:rPr>
              <w:sz w:val="22"/>
              <w:szCs w:val="22"/>
            </w:rPr>
            <w:fldChar w:fldCharType="separate"/>
          </w:r>
          <w:r>
            <w:rPr>
              <w:sz w:val="22"/>
              <w:szCs w:val="22"/>
            </w:rPr>
            <w:t>31</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_Toc26258 </w:instrText>
          </w:r>
          <w:r>
            <w:rPr>
              <w:sz w:val="22"/>
              <w:szCs w:val="22"/>
            </w:rPr>
            <w:fldChar w:fldCharType="separate"/>
          </w:r>
          <w:r>
            <w:rPr>
              <w:rFonts w:hint="eastAsia"/>
              <w:sz w:val="22"/>
              <w:szCs w:val="22"/>
              <w:lang w:val="en-US" w:eastAsia="zh-CN"/>
            </w:rPr>
            <w:t xml:space="preserve">附件五 </w:t>
          </w:r>
          <w:r>
            <w:rPr>
              <w:rFonts w:hint="eastAsia" w:asciiTheme="minorEastAsia" w:hAnsiTheme="minorEastAsia"/>
              <w:sz w:val="22"/>
              <w:szCs w:val="22"/>
            </w:rPr>
            <w:t>投标方已完成的同类型工程情况</w:t>
          </w:r>
          <w:r>
            <w:rPr>
              <w:sz w:val="22"/>
              <w:szCs w:val="22"/>
            </w:rPr>
            <w:tab/>
          </w:r>
          <w:r>
            <w:rPr>
              <w:sz w:val="22"/>
              <w:szCs w:val="22"/>
            </w:rPr>
            <w:fldChar w:fldCharType="begin"/>
          </w:r>
          <w:r>
            <w:rPr>
              <w:sz w:val="22"/>
              <w:szCs w:val="22"/>
            </w:rPr>
            <w:instrText xml:space="preserve"> PAGEREF _Toc26258 \h </w:instrText>
          </w:r>
          <w:r>
            <w:rPr>
              <w:sz w:val="22"/>
              <w:szCs w:val="22"/>
            </w:rPr>
            <w:fldChar w:fldCharType="separate"/>
          </w:r>
          <w:r>
            <w:rPr>
              <w:sz w:val="22"/>
              <w:szCs w:val="22"/>
            </w:rPr>
            <w:t>33</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sz w:val="22"/>
              <w:szCs w:val="22"/>
            </w:rPr>
          </w:pPr>
          <w:r>
            <w:rPr>
              <w:sz w:val="22"/>
              <w:szCs w:val="22"/>
            </w:rPr>
            <w:fldChar w:fldCharType="begin"/>
          </w:r>
          <w:r>
            <w:rPr>
              <w:sz w:val="22"/>
              <w:szCs w:val="22"/>
            </w:rPr>
            <w:instrText xml:space="preserve"> HYPERLINK \l _Toc32303 </w:instrText>
          </w:r>
          <w:r>
            <w:rPr>
              <w:sz w:val="22"/>
              <w:szCs w:val="22"/>
            </w:rPr>
            <w:fldChar w:fldCharType="separate"/>
          </w:r>
          <w:r>
            <w:rPr>
              <w:rFonts w:hint="eastAsia"/>
              <w:sz w:val="22"/>
              <w:szCs w:val="22"/>
              <w:lang w:val="en-US" w:eastAsia="zh-CN"/>
            </w:rPr>
            <w:t xml:space="preserve">附件六 </w:t>
          </w:r>
          <w:r>
            <w:rPr>
              <w:rFonts w:hint="eastAsia" w:asciiTheme="minorEastAsia" w:hAnsiTheme="minorEastAsia"/>
              <w:sz w:val="22"/>
              <w:szCs w:val="22"/>
            </w:rPr>
            <w:t>资格证明文件</w:t>
          </w:r>
          <w:r>
            <w:rPr>
              <w:sz w:val="22"/>
              <w:szCs w:val="22"/>
            </w:rPr>
            <w:tab/>
          </w:r>
          <w:r>
            <w:rPr>
              <w:sz w:val="22"/>
              <w:szCs w:val="22"/>
            </w:rPr>
            <w:fldChar w:fldCharType="begin"/>
          </w:r>
          <w:r>
            <w:rPr>
              <w:sz w:val="22"/>
              <w:szCs w:val="22"/>
            </w:rPr>
            <w:instrText xml:space="preserve"> PAGEREF _Toc32303 \h </w:instrText>
          </w:r>
          <w:r>
            <w:rPr>
              <w:sz w:val="22"/>
              <w:szCs w:val="22"/>
            </w:rPr>
            <w:fldChar w:fldCharType="separate"/>
          </w:r>
          <w:r>
            <w:rPr>
              <w:sz w:val="22"/>
              <w:szCs w:val="22"/>
            </w:rPr>
            <w:t>34</w:t>
          </w:r>
          <w:r>
            <w:rPr>
              <w:sz w:val="22"/>
              <w:szCs w:val="22"/>
            </w:rPr>
            <w:fldChar w:fldCharType="end"/>
          </w:r>
          <w:r>
            <w:rPr>
              <w:sz w:val="22"/>
              <w:szCs w:val="22"/>
            </w:rPr>
            <w:fldChar w:fldCharType="end"/>
          </w:r>
        </w:p>
        <w:p>
          <w:pPr>
            <w:pStyle w:val="33"/>
            <w:keepNext w:val="0"/>
            <w:keepLines w:val="0"/>
            <w:pageBreakBefore w:val="0"/>
            <w:tabs>
              <w:tab w:val="right" w:leader="dot" w:pos="8640"/>
            </w:tabs>
            <w:kinsoku/>
            <w:wordWrap/>
            <w:overflowPunct/>
            <w:topLinePunct w:val="0"/>
            <w:autoSpaceDE/>
            <w:autoSpaceDN/>
            <w:bidi w:val="0"/>
            <w:adjustRightInd/>
            <w:snapToGrid/>
            <w:spacing w:after="181" w:afterLines="50"/>
            <w:textAlignment w:val="auto"/>
            <w:rPr>
              <w:rFonts w:hint="eastAsia" w:asciiTheme="minorEastAsia" w:hAnsiTheme="minorEastAsia"/>
            </w:rPr>
          </w:pPr>
          <w:r>
            <w:rPr>
              <w:sz w:val="22"/>
              <w:szCs w:val="22"/>
            </w:rPr>
            <w:fldChar w:fldCharType="begin"/>
          </w:r>
          <w:r>
            <w:rPr>
              <w:sz w:val="22"/>
              <w:szCs w:val="22"/>
            </w:rPr>
            <w:instrText xml:space="preserve"> HYPERLINK \l _Toc20496 </w:instrText>
          </w:r>
          <w:r>
            <w:rPr>
              <w:sz w:val="22"/>
              <w:szCs w:val="22"/>
            </w:rPr>
            <w:fldChar w:fldCharType="separate"/>
          </w:r>
          <w:r>
            <w:rPr>
              <w:rFonts w:hint="eastAsia"/>
              <w:sz w:val="22"/>
              <w:szCs w:val="22"/>
              <w:lang w:val="en-US" w:eastAsia="zh-CN"/>
            </w:rPr>
            <w:t>附件七</w:t>
          </w:r>
          <w:r>
            <w:rPr>
              <w:rFonts w:hint="eastAsia"/>
              <w:sz w:val="22"/>
              <w:szCs w:val="22"/>
            </w:rPr>
            <w:t xml:space="preserve"> </w:t>
          </w:r>
          <w:r>
            <w:rPr>
              <w:rFonts w:hint="eastAsia" w:asciiTheme="minorEastAsia" w:hAnsiTheme="minorEastAsia"/>
              <w:sz w:val="22"/>
              <w:szCs w:val="22"/>
              <w:lang w:val="en-US" w:eastAsia="zh-CN"/>
            </w:rPr>
            <w:t>详细技术参数</w:t>
          </w:r>
          <w:r>
            <w:rPr>
              <w:sz w:val="22"/>
              <w:szCs w:val="22"/>
            </w:rPr>
            <w:tab/>
          </w:r>
          <w:r>
            <w:rPr>
              <w:sz w:val="22"/>
              <w:szCs w:val="22"/>
            </w:rPr>
            <w:fldChar w:fldCharType="begin"/>
          </w:r>
          <w:r>
            <w:rPr>
              <w:sz w:val="22"/>
              <w:szCs w:val="22"/>
            </w:rPr>
            <w:instrText xml:space="preserve"> PAGEREF _Toc20496 \h </w:instrText>
          </w:r>
          <w:r>
            <w:rPr>
              <w:sz w:val="22"/>
              <w:szCs w:val="22"/>
            </w:rPr>
            <w:fldChar w:fldCharType="separate"/>
          </w:r>
          <w:r>
            <w:rPr>
              <w:sz w:val="22"/>
              <w:szCs w:val="22"/>
            </w:rPr>
            <w:t>34</w:t>
          </w:r>
          <w:r>
            <w:rPr>
              <w:sz w:val="22"/>
              <w:szCs w:val="22"/>
            </w:rPr>
            <w:fldChar w:fldCharType="end"/>
          </w:r>
          <w:r>
            <w:rPr>
              <w:sz w:val="22"/>
              <w:szCs w:val="22"/>
            </w:rPr>
            <w:fldChar w:fldCharType="end"/>
          </w:r>
          <w:r>
            <w:rPr>
              <w:sz w:val="22"/>
              <w:szCs w:val="22"/>
            </w:rPr>
            <w:fldChar w:fldCharType="end"/>
          </w:r>
        </w:p>
      </w:sdtContent>
    </w:sdt>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sz w:val="32"/>
          <w:szCs w:val="32"/>
        </w:rPr>
        <w:sectPr>
          <w:pgSz w:w="12240" w:h="15840"/>
          <w:pgMar w:top="1440" w:right="1800" w:bottom="1182" w:left="1800" w:header="708" w:footer="708" w:gutter="0"/>
          <w:pgBorders>
            <w:top w:val="none" w:sz="0" w:space="0"/>
            <w:left w:val="none" w:sz="0" w:space="0"/>
            <w:bottom w:val="none" w:sz="0" w:space="0"/>
            <w:right w:val="none" w:sz="0" w:space="0"/>
          </w:pgBorders>
          <w:pgNumType w:fmt="decimal"/>
          <w:cols w:space="720" w:num="1"/>
          <w:titlePg/>
          <w:docGrid w:linePitch="360" w:charSpace="0"/>
        </w:sectPr>
      </w:pPr>
      <w:bookmarkStart w:id="2" w:name="_Toc342"/>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b/>
          <w:sz w:val="24"/>
        </w:rPr>
      </w:pPr>
      <w:r>
        <w:rPr>
          <w:rFonts w:hint="eastAsia"/>
          <w:sz w:val="32"/>
          <w:szCs w:val="32"/>
        </w:rPr>
        <w:t xml:space="preserve">第一章   </w:t>
      </w:r>
      <w:r>
        <w:rPr>
          <w:rFonts w:hint="eastAsia"/>
          <w:sz w:val="32"/>
          <w:szCs w:val="32"/>
          <w:lang w:val="en-US" w:eastAsia="zh-CN"/>
        </w:rPr>
        <w:t>投标邀请</w:t>
      </w:r>
      <w:bookmarkEnd w:id="2"/>
    </w:p>
    <w:p>
      <w:pPr>
        <w:pStyle w:val="8"/>
        <w:adjustRightInd w:val="0"/>
        <w:snapToGrid w:val="0"/>
        <w:spacing w:line="360" w:lineRule="auto"/>
        <w:ind w:firstLine="420" w:firstLineChars="200"/>
      </w:pPr>
      <w:r>
        <w:rPr>
          <w:rFonts w:hint="eastAsia" w:hAnsi="宋体"/>
          <w:lang w:val="en-US" w:eastAsia="zh-CN"/>
        </w:rPr>
        <w:t>中武（福建）跨境电子商务有限责任公司</w:t>
      </w:r>
      <w:r>
        <w:rPr>
          <w:rFonts w:hint="eastAsia" w:hAnsi="宋体"/>
          <w:lang w:eastAsia="zh-CN"/>
        </w:rPr>
        <w:t>对</w:t>
      </w:r>
      <w:r>
        <w:rPr>
          <w:rFonts w:hint="eastAsia" w:hAnsi="宋体"/>
          <w:lang w:val="en-US" w:eastAsia="zh-CN"/>
        </w:rPr>
        <w:t>菲律宾卡琳娜住房项目铝模采购</w:t>
      </w:r>
      <w:r>
        <w:rPr>
          <w:rFonts w:hint="eastAsia" w:hAnsi="宋体"/>
          <w:lang w:eastAsia="zh-CN"/>
        </w:rPr>
        <w:t>进行</w:t>
      </w:r>
      <w:bookmarkStart w:id="3" w:name="招标方式"/>
      <w:r>
        <w:rPr>
          <w:rFonts w:hint="eastAsia" w:hAnsi="宋体"/>
          <w:lang w:eastAsia="zh-CN"/>
        </w:rPr>
        <w:t>公开招标</w:t>
      </w:r>
      <w:bookmarkEnd w:id="3"/>
      <w:r>
        <w:rPr>
          <w:rFonts w:hint="eastAsia" w:hAnsi="宋体"/>
          <w:lang w:eastAsia="zh-CN"/>
        </w:rPr>
        <w:t>，</w:t>
      </w:r>
      <w:r>
        <w:rPr>
          <w:rFonts w:hint="eastAsia" w:hAnsi="宋体"/>
          <w:lang w:val="en-US" w:eastAsia="zh-CN"/>
        </w:rPr>
        <w:t>现</w:t>
      </w:r>
      <w:r>
        <w:rPr>
          <w:rFonts w:hint="eastAsia" w:hAnsi="宋体"/>
          <w:lang w:eastAsia="zh-CN"/>
        </w:rPr>
        <w:t>欢迎合格的投标人</w:t>
      </w:r>
      <w:r>
        <w:rPr>
          <w:rFonts w:hint="eastAsia" w:hAnsi="宋体"/>
          <w:lang w:val="en-US" w:eastAsia="zh-CN"/>
        </w:rPr>
        <w:t>参与</w:t>
      </w:r>
      <w:r>
        <w:rPr>
          <w:rFonts w:hint="eastAsia" w:hAnsi="宋体"/>
          <w:lang w:eastAsia="zh-CN"/>
        </w:rPr>
        <w:t>投标。</w:t>
      </w:r>
      <w:r>
        <w:rPr>
          <w:rFonts w:hint="eastAsia" w:asciiTheme="minorEastAsia" w:hAnsiTheme="minorEastAsia"/>
          <w:b w:val="0"/>
          <w:sz w:val="21"/>
          <w:szCs w:val="21"/>
        </w:rPr>
        <w:t>采购公告如下：</w:t>
      </w:r>
    </w:p>
    <w:p>
      <w:pPr>
        <w:pStyle w:val="14"/>
        <w:numPr>
          <w:ilvl w:val="0"/>
          <w:numId w:val="2"/>
        </w:numPr>
        <w:spacing w:before="0" w:after="0" w:line="360" w:lineRule="auto"/>
        <w:ind w:firstLine="420" w:firstLineChars="200"/>
        <w:jc w:val="both"/>
        <w:rPr>
          <w:rFonts w:hint="eastAsia" w:ascii="宋体" w:hAnsi="宋体" w:eastAsiaTheme="minorEastAsia" w:cstheme="minorBidi"/>
          <w:b w:val="0"/>
          <w:bCs w:val="0"/>
          <w:kern w:val="2"/>
          <w:sz w:val="21"/>
          <w:szCs w:val="24"/>
          <w:lang w:val="en-US" w:eastAsia="zh-CN" w:bidi="ar-SA"/>
        </w:rPr>
      </w:pPr>
      <w:bookmarkStart w:id="4" w:name="_Toc468"/>
      <w:bookmarkStart w:id="5" w:name="_Toc7918"/>
      <w:r>
        <w:rPr>
          <w:rFonts w:hint="eastAsia" w:ascii="宋体" w:hAnsi="宋体" w:eastAsiaTheme="minorEastAsia" w:cstheme="minorBidi"/>
          <w:b w:val="0"/>
          <w:bCs w:val="0"/>
          <w:kern w:val="2"/>
          <w:sz w:val="21"/>
          <w:szCs w:val="24"/>
          <w:lang w:val="en-US" w:eastAsia="zh-CN" w:bidi="ar-SA"/>
        </w:rPr>
        <w:t>招标编号：</w:t>
      </w:r>
      <w:bookmarkStart w:id="6" w:name="批复号带括号"/>
      <w:bookmarkEnd w:id="6"/>
      <w:r>
        <w:rPr>
          <w:rFonts w:hint="eastAsia" w:ascii="宋体" w:hAnsi="宋体" w:eastAsiaTheme="minorEastAsia" w:cstheme="minorBidi"/>
          <w:b w:val="0"/>
          <w:bCs w:val="0"/>
          <w:kern w:val="2"/>
          <w:sz w:val="21"/>
          <w:szCs w:val="24"/>
          <w:lang w:val="en-US" w:eastAsia="zh-CN" w:bidi="ar-SA"/>
        </w:rPr>
        <w:t>ZWDSGYL-ZB-2021003。</w:t>
      </w:r>
      <w:bookmarkEnd w:id="4"/>
      <w:bookmarkEnd w:id="5"/>
    </w:p>
    <w:p>
      <w:pPr>
        <w:pStyle w:val="14"/>
        <w:numPr>
          <w:ilvl w:val="0"/>
          <w:numId w:val="2"/>
        </w:numPr>
        <w:spacing w:before="0" w:after="0" w:line="360" w:lineRule="auto"/>
        <w:ind w:firstLine="420" w:firstLineChars="200"/>
        <w:jc w:val="both"/>
        <w:rPr>
          <w:rFonts w:hint="eastAsia" w:ascii="宋体" w:hAnsi="宋体" w:eastAsiaTheme="minorEastAsia" w:cstheme="minorBidi"/>
          <w:b w:val="0"/>
          <w:bCs w:val="0"/>
          <w:kern w:val="2"/>
          <w:sz w:val="21"/>
          <w:szCs w:val="24"/>
          <w:lang w:val="en-US" w:eastAsia="zh-CN" w:bidi="ar-SA"/>
        </w:rPr>
      </w:pPr>
      <w:bookmarkStart w:id="7" w:name="_Toc9994"/>
      <w:bookmarkStart w:id="8" w:name="_Toc23160"/>
      <w:r>
        <w:rPr>
          <w:rFonts w:hint="eastAsia" w:ascii="宋体" w:hAnsi="宋体" w:eastAsiaTheme="minorEastAsia" w:cstheme="minorBidi"/>
          <w:b w:val="0"/>
          <w:bCs w:val="0"/>
          <w:kern w:val="2"/>
          <w:sz w:val="21"/>
          <w:szCs w:val="24"/>
          <w:lang w:val="en-US" w:eastAsia="zh-CN" w:bidi="ar-SA"/>
        </w:rPr>
        <w:t>招标单位：中武（福建）跨境电子商务有限责任公司</w:t>
      </w:r>
      <w:bookmarkEnd w:id="7"/>
      <w:bookmarkEnd w:id="8"/>
    </w:p>
    <w:p>
      <w:pPr>
        <w:pStyle w:val="14"/>
        <w:numPr>
          <w:ilvl w:val="0"/>
          <w:numId w:val="2"/>
        </w:numPr>
        <w:spacing w:before="0" w:after="0" w:line="360" w:lineRule="auto"/>
        <w:ind w:firstLine="420" w:firstLineChars="200"/>
        <w:jc w:val="both"/>
        <w:rPr>
          <w:rFonts w:hint="eastAsia" w:ascii="宋体" w:hAnsi="宋体" w:eastAsiaTheme="minorEastAsia" w:cstheme="minorBidi"/>
          <w:b w:val="0"/>
          <w:bCs w:val="0"/>
          <w:kern w:val="2"/>
          <w:sz w:val="21"/>
          <w:szCs w:val="24"/>
          <w:lang w:val="en-US" w:eastAsia="zh-CN" w:bidi="ar-SA"/>
        </w:rPr>
      </w:pPr>
      <w:bookmarkStart w:id="9" w:name="_Toc6754"/>
      <w:bookmarkStart w:id="10" w:name="_Toc8868"/>
      <w:r>
        <w:rPr>
          <w:rFonts w:hint="eastAsia" w:ascii="宋体" w:hAnsi="宋体" w:eastAsiaTheme="minorEastAsia" w:cstheme="minorBidi"/>
          <w:b w:val="0"/>
          <w:bCs w:val="0"/>
          <w:kern w:val="2"/>
          <w:sz w:val="21"/>
          <w:szCs w:val="24"/>
          <w:lang w:val="en-US" w:eastAsia="zh-CN" w:bidi="ar-SA"/>
        </w:rPr>
        <w:t>招标单位地址：福州市鼓楼区东街33号武夷中心15层</w:t>
      </w:r>
      <w:bookmarkEnd w:id="9"/>
      <w:bookmarkEnd w:id="10"/>
    </w:p>
    <w:p>
      <w:pPr>
        <w:pStyle w:val="14"/>
        <w:numPr>
          <w:ilvl w:val="0"/>
          <w:numId w:val="2"/>
        </w:numPr>
        <w:spacing w:before="0" w:after="0" w:line="360" w:lineRule="auto"/>
        <w:ind w:firstLine="420" w:firstLineChars="200"/>
        <w:jc w:val="both"/>
        <w:rPr>
          <w:rFonts w:hint="eastAsia" w:ascii="宋体" w:hAnsi="宋体" w:eastAsiaTheme="minorEastAsia" w:cstheme="minorBidi"/>
          <w:b w:val="0"/>
          <w:bCs w:val="0"/>
          <w:kern w:val="2"/>
          <w:sz w:val="21"/>
          <w:szCs w:val="24"/>
          <w:lang w:val="en-US" w:eastAsia="zh-CN" w:bidi="ar-SA"/>
        </w:rPr>
      </w:pPr>
      <w:bookmarkStart w:id="11" w:name="_Toc22470"/>
      <w:bookmarkStart w:id="12" w:name="_Toc29320"/>
      <w:r>
        <w:rPr>
          <w:rFonts w:hint="eastAsia" w:ascii="宋体" w:hAnsi="宋体" w:eastAsiaTheme="minorEastAsia" w:cstheme="minorBidi"/>
          <w:b w:val="0"/>
          <w:bCs w:val="0"/>
          <w:kern w:val="2"/>
          <w:sz w:val="21"/>
          <w:szCs w:val="24"/>
          <w:lang w:val="en-US" w:eastAsia="zh-CN" w:bidi="ar-SA"/>
        </w:rPr>
        <w:t>招标单位联系人：康冬妮 0591-88320883</w:t>
      </w:r>
      <w:r>
        <w:rPr>
          <w:rFonts w:hint="eastAsia" w:ascii="宋体" w:hAnsi="宋体" w:cstheme="minorBidi"/>
          <w:b w:val="0"/>
          <w:bCs w:val="0"/>
          <w:kern w:val="2"/>
          <w:sz w:val="21"/>
          <w:szCs w:val="24"/>
          <w:lang w:val="en-US" w:eastAsia="zh-CN" w:bidi="ar-SA"/>
        </w:rPr>
        <w:t>，+86 13960789366</w:t>
      </w:r>
      <w:bookmarkEnd w:id="11"/>
      <w:bookmarkEnd w:id="12"/>
      <w:r>
        <w:rPr>
          <w:rFonts w:hint="eastAsia" w:ascii="宋体" w:hAnsi="宋体" w:eastAsiaTheme="minorEastAsia" w:cstheme="minorBidi"/>
          <w:b w:val="0"/>
          <w:bCs w:val="0"/>
          <w:kern w:val="2"/>
          <w:sz w:val="21"/>
          <w:szCs w:val="24"/>
          <w:lang w:val="en-US" w:eastAsia="zh-CN" w:bidi="ar-SA"/>
        </w:rPr>
        <w:t xml:space="preserve">   </w:t>
      </w:r>
    </w:p>
    <w:p>
      <w:pPr>
        <w:pStyle w:val="14"/>
        <w:numPr>
          <w:ilvl w:val="0"/>
          <w:numId w:val="2"/>
        </w:numPr>
        <w:spacing w:before="0" w:after="0" w:line="360" w:lineRule="auto"/>
        <w:ind w:firstLine="420" w:firstLineChars="200"/>
        <w:jc w:val="both"/>
        <w:rPr>
          <w:rFonts w:hint="eastAsia" w:ascii="宋体" w:hAnsi="宋体" w:eastAsiaTheme="minorEastAsia" w:cstheme="minorBidi"/>
          <w:b w:val="0"/>
          <w:bCs w:val="0"/>
          <w:kern w:val="2"/>
          <w:sz w:val="21"/>
          <w:szCs w:val="24"/>
          <w:lang w:val="en-US" w:eastAsia="zh-CN" w:bidi="ar-SA"/>
        </w:rPr>
      </w:pPr>
      <w:bookmarkStart w:id="13" w:name="_Toc28052"/>
      <w:bookmarkStart w:id="14" w:name="_Toc27141"/>
      <w:r>
        <w:rPr>
          <w:rFonts w:hint="eastAsia" w:ascii="宋体" w:hAnsi="宋体" w:eastAsiaTheme="minorEastAsia" w:cstheme="minorBidi"/>
          <w:b w:val="0"/>
          <w:bCs w:val="0"/>
          <w:kern w:val="2"/>
          <w:sz w:val="21"/>
          <w:szCs w:val="24"/>
          <w:lang w:val="en-US" w:eastAsia="zh-CN" w:bidi="ar-SA"/>
        </w:rPr>
        <w:t>投标截止时间：</w:t>
      </w:r>
      <w:bookmarkStart w:id="15" w:name="_Hlk52362716"/>
      <w:r>
        <w:rPr>
          <w:rFonts w:hint="eastAsia" w:ascii="宋体" w:hAnsi="宋体" w:eastAsiaTheme="minorEastAsia" w:cstheme="minorBidi"/>
          <w:b w:val="0"/>
          <w:bCs w:val="0"/>
          <w:kern w:val="2"/>
          <w:sz w:val="21"/>
          <w:szCs w:val="24"/>
          <w:lang w:val="en-US" w:eastAsia="zh-CN" w:bidi="ar-SA"/>
        </w:rPr>
        <w:t>2021年7月</w:t>
      </w:r>
      <w:r>
        <w:rPr>
          <w:rFonts w:hint="eastAsia" w:ascii="宋体" w:hAnsi="宋体" w:cstheme="minorBidi"/>
          <w:b w:val="0"/>
          <w:bCs w:val="0"/>
          <w:kern w:val="2"/>
          <w:sz w:val="21"/>
          <w:szCs w:val="24"/>
          <w:lang w:val="en-US" w:eastAsia="zh-CN" w:bidi="ar-SA"/>
        </w:rPr>
        <w:t>16</w:t>
      </w:r>
      <w:r>
        <w:rPr>
          <w:rFonts w:hint="eastAsia" w:ascii="宋体" w:hAnsi="宋体" w:eastAsiaTheme="minorEastAsia" w:cstheme="minorBidi"/>
          <w:b w:val="0"/>
          <w:bCs w:val="0"/>
          <w:kern w:val="2"/>
          <w:sz w:val="21"/>
          <w:szCs w:val="24"/>
          <w:lang w:val="en-US" w:eastAsia="zh-CN" w:bidi="ar-SA"/>
        </w:rPr>
        <w:t>日8：00（北京时间）</w:t>
      </w:r>
      <w:bookmarkEnd w:id="15"/>
      <w:r>
        <w:rPr>
          <w:rFonts w:hint="eastAsia" w:ascii="宋体" w:hAnsi="宋体" w:eastAsiaTheme="minorEastAsia" w:cstheme="minorBidi"/>
          <w:b w:val="0"/>
          <w:bCs w:val="0"/>
          <w:kern w:val="2"/>
          <w:sz w:val="21"/>
          <w:szCs w:val="24"/>
          <w:lang w:val="en-US" w:eastAsia="zh-CN" w:bidi="ar-SA"/>
        </w:rPr>
        <w:t>（逾期报送将作为废标处理）。</w:t>
      </w:r>
      <w:bookmarkEnd w:id="13"/>
      <w:bookmarkEnd w:id="14"/>
    </w:p>
    <w:p>
      <w:pPr>
        <w:pStyle w:val="14"/>
        <w:numPr>
          <w:ilvl w:val="0"/>
          <w:numId w:val="2"/>
        </w:numPr>
        <w:spacing w:before="0" w:after="0" w:line="360" w:lineRule="auto"/>
        <w:ind w:firstLine="420" w:firstLineChars="200"/>
        <w:jc w:val="both"/>
        <w:rPr>
          <w:rFonts w:hint="default" w:ascii="宋体" w:hAnsi="宋体" w:eastAsiaTheme="minorEastAsia" w:cstheme="minorBidi"/>
          <w:b w:val="0"/>
          <w:bCs w:val="0"/>
          <w:kern w:val="2"/>
          <w:sz w:val="21"/>
          <w:szCs w:val="24"/>
          <w:lang w:val="en-US" w:eastAsia="zh-CN" w:bidi="ar-SA"/>
        </w:rPr>
      </w:pPr>
      <w:bookmarkStart w:id="16" w:name="_Toc20602"/>
      <w:bookmarkStart w:id="17" w:name="_Toc25079"/>
      <w:r>
        <w:rPr>
          <w:rFonts w:hint="eastAsia" w:ascii="宋体" w:hAnsi="宋体" w:eastAsiaTheme="minorEastAsia" w:cstheme="minorBidi"/>
          <w:b w:val="0"/>
          <w:bCs w:val="0"/>
          <w:kern w:val="2"/>
          <w:sz w:val="21"/>
          <w:szCs w:val="24"/>
          <w:lang w:val="en-US" w:eastAsia="zh-CN" w:bidi="ar-SA"/>
        </w:rPr>
        <w:t>开标时间：2021年7月</w:t>
      </w:r>
      <w:r>
        <w:rPr>
          <w:rFonts w:hint="eastAsia" w:ascii="宋体" w:hAnsi="宋体" w:cstheme="minorBidi"/>
          <w:b w:val="0"/>
          <w:bCs w:val="0"/>
          <w:kern w:val="2"/>
          <w:sz w:val="21"/>
          <w:szCs w:val="24"/>
          <w:lang w:val="en-US" w:eastAsia="zh-CN" w:bidi="ar-SA"/>
        </w:rPr>
        <w:t>16</w:t>
      </w:r>
      <w:r>
        <w:rPr>
          <w:rFonts w:hint="eastAsia" w:ascii="宋体" w:hAnsi="宋体" w:eastAsiaTheme="minorEastAsia" w:cstheme="minorBidi"/>
          <w:b w:val="0"/>
          <w:bCs w:val="0"/>
          <w:kern w:val="2"/>
          <w:sz w:val="21"/>
          <w:szCs w:val="24"/>
          <w:lang w:val="en-US" w:eastAsia="zh-CN" w:bidi="ar-SA"/>
        </w:rPr>
        <w:t>日10：00（北京时间）</w:t>
      </w:r>
      <w:bookmarkEnd w:id="16"/>
      <w:bookmarkEnd w:id="17"/>
    </w:p>
    <w:p>
      <w:pPr>
        <w:pStyle w:val="14"/>
        <w:numPr>
          <w:ilvl w:val="0"/>
          <w:numId w:val="2"/>
        </w:numPr>
        <w:spacing w:before="0" w:after="0" w:line="360" w:lineRule="auto"/>
        <w:ind w:firstLine="420" w:firstLineChars="200"/>
        <w:jc w:val="both"/>
        <w:rPr>
          <w:rFonts w:hint="eastAsia" w:ascii="宋体" w:hAnsi="宋体" w:eastAsiaTheme="minorEastAsia" w:cstheme="minorBidi"/>
          <w:b w:val="0"/>
          <w:bCs w:val="0"/>
          <w:kern w:val="2"/>
          <w:sz w:val="21"/>
          <w:szCs w:val="24"/>
          <w:lang w:val="en-US" w:eastAsia="zh-CN" w:bidi="ar-SA"/>
        </w:rPr>
      </w:pPr>
      <w:bookmarkStart w:id="18" w:name="_Toc1091"/>
      <w:bookmarkStart w:id="19" w:name="_Toc12057"/>
      <w:r>
        <w:rPr>
          <w:rFonts w:hint="eastAsia" w:ascii="宋体" w:hAnsi="宋体" w:eastAsiaTheme="minorEastAsia" w:cstheme="minorBidi"/>
          <w:b w:val="0"/>
          <w:bCs w:val="0"/>
          <w:kern w:val="2"/>
          <w:sz w:val="21"/>
          <w:szCs w:val="24"/>
          <w:lang w:val="en-US" w:eastAsia="zh-CN" w:bidi="ar-SA"/>
        </w:rPr>
        <w:t>递交相关投标文件的地点：中武（福建）跨境电子商务有限责任公司（福州市鼓楼区东街33号武夷中心15层）。</w:t>
      </w:r>
      <w:bookmarkEnd w:id="18"/>
      <w:bookmarkEnd w:id="19"/>
    </w:p>
    <w:p>
      <w:pPr>
        <w:pStyle w:val="14"/>
        <w:numPr>
          <w:ilvl w:val="0"/>
          <w:numId w:val="0"/>
        </w:numPr>
        <w:spacing w:before="0" w:after="0" w:line="360" w:lineRule="auto"/>
        <w:ind w:firstLine="840" w:firstLineChars="400"/>
        <w:jc w:val="both"/>
        <w:rPr>
          <w:rFonts w:hint="default" w:ascii="宋体" w:hAnsi="宋体" w:eastAsiaTheme="minorEastAsia" w:cstheme="minorBidi"/>
          <w:b w:val="0"/>
          <w:bCs w:val="0"/>
          <w:kern w:val="2"/>
          <w:sz w:val="21"/>
          <w:szCs w:val="24"/>
          <w:lang w:val="en-US" w:eastAsia="zh-CN" w:bidi="ar-SA"/>
        </w:rPr>
      </w:pPr>
      <w:bookmarkStart w:id="20" w:name="_Toc13048"/>
      <w:bookmarkStart w:id="21" w:name="_Toc31852"/>
      <w:r>
        <w:rPr>
          <w:rFonts w:hint="eastAsia" w:ascii="宋体" w:hAnsi="宋体" w:eastAsiaTheme="minorEastAsia" w:cstheme="minorBidi"/>
          <w:b w:val="0"/>
          <w:bCs w:val="0"/>
          <w:kern w:val="2"/>
          <w:sz w:val="21"/>
          <w:szCs w:val="24"/>
          <w:lang w:val="en-US" w:eastAsia="zh-CN" w:bidi="ar-SA"/>
        </w:rPr>
        <w:t>公司招标网站：</w:t>
      </w:r>
      <w:r>
        <w:rPr>
          <w:rFonts w:hint="eastAsia" w:ascii="宋体" w:hAnsi="宋体" w:eastAsiaTheme="minorEastAsia" w:cstheme="minorBidi"/>
          <w:b w:val="0"/>
          <w:bCs w:val="0"/>
          <w:kern w:val="2"/>
          <w:sz w:val="21"/>
          <w:szCs w:val="24"/>
          <w:lang w:val="en-US" w:eastAsia="zh-CN" w:bidi="ar-SA"/>
        </w:rPr>
        <w:fldChar w:fldCharType="begin"/>
      </w:r>
      <w:r>
        <w:rPr>
          <w:rFonts w:hint="eastAsia" w:ascii="宋体" w:hAnsi="宋体" w:eastAsiaTheme="minorEastAsia" w:cstheme="minorBidi"/>
          <w:b w:val="0"/>
          <w:bCs w:val="0"/>
          <w:kern w:val="2"/>
          <w:sz w:val="21"/>
          <w:szCs w:val="24"/>
          <w:lang w:val="en-US" w:eastAsia="zh-CN" w:bidi="ar-SA"/>
        </w:rPr>
        <w:instrText xml:space="preserve"> HYPERLINK "http://www.wuyiec.com.cn" </w:instrText>
      </w:r>
      <w:r>
        <w:rPr>
          <w:rFonts w:hint="eastAsia" w:ascii="宋体" w:hAnsi="宋体" w:eastAsiaTheme="minorEastAsia" w:cstheme="minorBidi"/>
          <w:b w:val="0"/>
          <w:bCs w:val="0"/>
          <w:kern w:val="2"/>
          <w:sz w:val="21"/>
          <w:szCs w:val="24"/>
          <w:lang w:val="en-US" w:eastAsia="zh-CN" w:bidi="ar-SA"/>
        </w:rPr>
        <w:fldChar w:fldCharType="separate"/>
      </w:r>
      <w:r>
        <w:rPr>
          <w:rFonts w:hint="eastAsia" w:ascii="宋体" w:hAnsi="宋体" w:eastAsiaTheme="minorEastAsia" w:cstheme="minorBidi"/>
          <w:b w:val="0"/>
          <w:bCs w:val="0"/>
          <w:kern w:val="2"/>
          <w:sz w:val="21"/>
          <w:szCs w:val="24"/>
          <w:lang w:val="en-US" w:eastAsia="zh-CN" w:bidi="ar-SA"/>
        </w:rPr>
        <w:t>http://www.wuyiec.com.cn</w:t>
      </w:r>
      <w:r>
        <w:rPr>
          <w:rFonts w:hint="eastAsia" w:ascii="宋体" w:hAnsi="宋体" w:eastAsiaTheme="minorEastAsia" w:cstheme="minorBidi"/>
          <w:b w:val="0"/>
          <w:bCs w:val="0"/>
          <w:kern w:val="2"/>
          <w:sz w:val="21"/>
          <w:szCs w:val="24"/>
          <w:lang w:val="en-US" w:eastAsia="zh-CN" w:bidi="ar-SA"/>
        </w:rPr>
        <w:fldChar w:fldCharType="end"/>
      </w:r>
      <w:bookmarkEnd w:id="20"/>
      <w:bookmarkEnd w:id="21"/>
      <w:r>
        <w:rPr>
          <w:rFonts w:hint="eastAsia" w:ascii="宋体" w:hAnsi="宋体" w:eastAsiaTheme="minorEastAsia" w:cstheme="minorBidi"/>
          <w:b w:val="0"/>
          <w:bCs w:val="0"/>
          <w:kern w:val="2"/>
          <w:sz w:val="21"/>
          <w:szCs w:val="24"/>
          <w:lang w:val="en-US" w:eastAsia="zh-CN" w:bidi="ar-SA"/>
        </w:rPr>
        <w:t xml:space="preserve">  </w:t>
      </w:r>
    </w:p>
    <w:p>
      <w:pPr>
        <w:pStyle w:val="14"/>
        <w:numPr>
          <w:ilvl w:val="0"/>
          <w:numId w:val="0"/>
        </w:numPr>
        <w:spacing w:before="0" w:after="0" w:line="360" w:lineRule="auto"/>
        <w:ind w:firstLine="840" w:firstLineChars="400"/>
        <w:jc w:val="both"/>
        <w:rPr>
          <w:rFonts w:hint="eastAsia" w:ascii="宋体" w:hAnsi="宋体" w:eastAsiaTheme="minorEastAsia" w:cstheme="minorBidi"/>
          <w:b w:val="0"/>
          <w:bCs w:val="0"/>
          <w:kern w:val="2"/>
          <w:sz w:val="21"/>
          <w:szCs w:val="24"/>
          <w:lang w:val="en-US" w:eastAsia="zh-CN" w:bidi="ar-SA"/>
        </w:rPr>
      </w:pPr>
      <w:bookmarkStart w:id="22" w:name="_Toc26392"/>
      <w:bookmarkStart w:id="23" w:name="_Toc15989"/>
      <w:r>
        <w:rPr>
          <w:rFonts w:hint="eastAsia" w:ascii="宋体" w:hAnsi="宋体" w:eastAsiaTheme="minorEastAsia" w:cstheme="minorBidi"/>
          <w:b w:val="0"/>
          <w:bCs w:val="0"/>
          <w:kern w:val="2"/>
          <w:sz w:val="21"/>
          <w:szCs w:val="24"/>
          <w:lang w:val="en-US" w:eastAsia="zh-CN" w:bidi="ar-SA"/>
        </w:rPr>
        <w:t>发送相关投标文件的邮箱：pur1@wuyiec.com.cn</w:t>
      </w:r>
      <w:bookmarkEnd w:id="22"/>
      <w:bookmarkEnd w:id="23"/>
      <w:r>
        <w:rPr>
          <w:rFonts w:hint="eastAsia" w:ascii="宋体" w:hAnsi="宋体" w:eastAsiaTheme="minorEastAsia" w:cstheme="minorBidi"/>
          <w:b w:val="0"/>
          <w:bCs w:val="0"/>
          <w:kern w:val="2"/>
          <w:sz w:val="21"/>
          <w:szCs w:val="24"/>
          <w:lang w:val="en-US" w:eastAsia="zh-CN" w:bidi="ar-SA"/>
        </w:rPr>
        <w:t xml:space="preserve"> </w:t>
      </w:r>
    </w:p>
    <w:p>
      <w:pPr>
        <w:pStyle w:val="14"/>
        <w:numPr>
          <w:ilvl w:val="0"/>
          <w:numId w:val="2"/>
        </w:numPr>
        <w:spacing w:before="0" w:after="0" w:line="360" w:lineRule="auto"/>
        <w:ind w:firstLine="420" w:firstLineChars="200"/>
        <w:jc w:val="both"/>
        <w:rPr>
          <w:rFonts w:hint="default" w:ascii="宋体" w:hAnsi="宋体" w:eastAsiaTheme="minorEastAsia" w:cstheme="minorBidi"/>
          <w:b w:val="0"/>
          <w:bCs w:val="0"/>
          <w:kern w:val="2"/>
          <w:sz w:val="21"/>
          <w:szCs w:val="24"/>
          <w:lang w:val="en-US" w:eastAsia="zh-CN" w:bidi="ar-SA"/>
        </w:rPr>
      </w:pPr>
      <w:bookmarkStart w:id="24" w:name="_Toc25018"/>
      <w:bookmarkStart w:id="25" w:name="_Toc28333"/>
      <w:r>
        <w:rPr>
          <w:rFonts w:hint="eastAsia" w:ascii="宋体" w:hAnsi="宋体" w:eastAsiaTheme="minorEastAsia" w:cstheme="minorBidi"/>
          <w:b w:val="0"/>
          <w:bCs w:val="0"/>
          <w:kern w:val="2"/>
          <w:sz w:val="21"/>
          <w:szCs w:val="24"/>
          <w:lang w:val="en-US" w:eastAsia="zh-CN" w:bidi="ar-SA"/>
        </w:rPr>
        <w:t>贵公司如果有意合作，请及时与我们联系并在投标截止日期之前提交投标文件</w:t>
      </w:r>
      <w:r>
        <w:rPr>
          <w:rFonts w:hint="eastAsia" w:ascii="宋体" w:hAnsi="宋体" w:cstheme="minorBidi"/>
          <w:b w:val="0"/>
          <w:bCs w:val="0"/>
          <w:kern w:val="2"/>
          <w:sz w:val="21"/>
          <w:szCs w:val="24"/>
          <w:lang w:val="en-US" w:eastAsia="zh-CN" w:bidi="ar-SA"/>
        </w:rPr>
        <w:t>。</w:t>
      </w:r>
      <w:bookmarkEnd w:id="24"/>
      <w:bookmarkEnd w:id="25"/>
    </w:p>
    <w:p>
      <w:pPr>
        <w:pStyle w:val="14"/>
        <w:numPr>
          <w:ilvl w:val="0"/>
          <w:numId w:val="2"/>
        </w:numPr>
        <w:spacing w:before="0" w:after="0" w:line="360" w:lineRule="auto"/>
        <w:ind w:firstLine="420" w:firstLineChars="200"/>
        <w:jc w:val="both"/>
        <w:rPr>
          <w:rFonts w:hint="default" w:ascii="宋体" w:hAnsi="宋体" w:eastAsiaTheme="minorEastAsia" w:cstheme="minorBidi"/>
          <w:b w:val="0"/>
          <w:bCs w:val="0"/>
          <w:kern w:val="2"/>
          <w:sz w:val="21"/>
          <w:szCs w:val="24"/>
          <w:lang w:val="en-US" w:eastAsia="zh-CN" w:bidi="ar-SA"/>
        </w:rPr>
      </w:pPr>
      <w:bookmarkStart w:id="26" w:name="_Toc16637"/>
      <w:bookmarkStart w:id="27" w:name="_Toc645"/>
      <w:r>
        <w:rPr>
          <w:rFonts w:hint="eastAsia" w:ascii="宋体" w:hAnsi="宋体" w:eastAsiaTheme="minorEastAsia" w:cstheme="minorBidi"/>
          <w:b w:val="0"/>
          <w:bCs w:val="0"/>
          <w:kern w:val="2"/>
          <w:sz w:val="21"/>
          <w:szCs w:val="24"/>
          <w:lang w:val="en-US" w:eastAsia="zh-CN" w:bidi="ar-SA"/>
        </w:rPr>
        <w:t>投标人对本招标文件提出质疑的，应在规定的时限前，按照规定的格式，以邮件的形式与招标单位联系（逾期或不按规定格式呈送的将不予受理）。</w:t>
      </w:r>
      <w:bookmarkEnd w:id="26"/>
      <w:bookmarkEnd w:id="27"/>
    </w:p>
    <w:p>
      <w:pPr>
        <w:rPr>
          <w:rFonts w:hint="eastAsia"/>
          <w:lang w:val="en-US" w:eastAsia="zh-CN"/>
        </w:rPr>
      </w:pPr>
    </w:p>
    <w:p>
      <w:pPr>
        <w:pStyle w:val="14"/>
        <w:spacing w:before="0" w:after="0" w:line="360" w:lineRule="auto"/>
        <w:ind w:firstLine="420" w:firstLineChars="200"/>
        <w:jc w:val="both"/>
      </w:pPr>
      <w:bookmarkStart w:id="28" w:name="_Toc30833"/>
      <w:bookmarkStart w:id="29" w:name="_Toc17382"/>
      <w:r>
        <w:rPr>
          <w:rFonts w:hint="eastAsia" w:asciiTheme="minorEastAsia" w:hAnsiTheme="minorEastAsia"/>
          <w:b w:val="0"/>
          <w:sz w:val="21"/>
          <w:szCs w:val="21"/>
        </w:rPr>
        <w:t>贵公司的产品及服务经我方审核检验后如果符合招标文件的相关要求，我方将本着优质、低价、服务好的原则从中确定中标单位并与之协商签订供货合同。</w:t>
      </w:r>
      <w:bookmarkEnd w:id="28"/>
      <w:bookmarkEnd w:id="29"/>
    </w:p>
    <w:p>
      <w:pPr>
        <w:spacing w:line="360" w:lineRule="auto"/>
        <w:ind w:firstLine="420" w:firstLineChars="200"/>
      </w:pPr>
    </w:p>
    <w:p>
      <w:pPr>
        <w:pStyle w:val="14"/>
        <w:spacing w:before="0" w:after="0" w:line="360" w:lineRule="auto"/>
        <w:ind w:firstLine="420" w:firstLineChars="200"/>
        <w:jc w:val="both"/>
        <w:rPr>
          <w:rFonts w:asciiTheme="minorEastAsia" w:hAnsiTheme="minorEastAsia"/>
          <w:b w:val="0"/>
          <w:sz w:val="21"/>
          <w:szCs w:val="21"/>
        </w:rPr>
      </w:pPr>
      <w:bookmarkStart w:id="30" w:name="_Toc21238"/>
      <w:bookmarkStart w:id="31" w:name="_Toc271"/>
      <w:r>
        <w:rPr>
          <w:rFonts w:hint="eastAsia" w:asciiTheme="minorEastAsia" w:hAnsiTheme="minorEastAsia"/>
          <w:b w:val="0"/>
          <w:sz w:val="21"/>
          <w:szCs w:val="21"/>
        </w:rPr>
        <w:t>我们希望得到您的支持并预祝合作成功！</w:t>
      </w:r>
      <w:bookmarkEnd w:id="30"/>
      <w:bookmarkEnd w:id="31"/>
    </w:p>
    <w:p>
      <w:pPr>
        <w:pStyle w:val="14"/>
        <w:spacing w:before="0" w:after="0" w:line="360" w:lineRule="auto"/>
        <w:ind w:firstLine="643" w:firstLineChars="200"/>
        <w:jc w:val="both"/>
        <w:outlineLvl w:val="9"/>
        <w:rPr>
          <w:rFonts w:asciiTheme="minorEastAsia" w:hAnsiTheme="minorEastAsia"/>
        </w:rPr>
      </w:pPr>
    </w:p>
    <w:p>
      <w:pPr>
        <w:pStyle w:val="15"/>
        <w:ind w:left="0" w:leftChars="0" w:firstLine="0" w:firstLineChars="0"/>
        <w:rPr>
          <w:rFonts w:asciiTheme="minorEastAsia" w:hAnsiTheme="minorEastAsia"/>
        </w:rPr>
      </w:pPr>
    </w:p>
    <w:p>
      <w:pPr>
        <w:pStyle w:val="15"/>
        <w:ind w:left="0" w:leftChars="0" w:firstLine="0" w:firstLineChars="0"/>
        <w:rPr>
          <w:rFonts w:asciiTheme="minorEastAsia" w:hAnsiTheme="minorEastAsia"/>
        </w:rPr>
      </w:pPr>
    </w:p>
    <w:p>
      <w:pPr>
        <w:pStyle w:val="15"/>
        <w:ind w:left="0" w:leftChars="0" w:firstLine="0" w:firstLineChars="0"/>
        <w:rPr>
          <w:rFonts w:asciiTheme="minorEastAsia" w:hAnsiTheme="minorEastAsia"/>
        </w:rPr>
      </w:pPr>
    </w:p>
    <w:p>
      <w:pPr>
        <w:pStyle w:val="15"/>
        <w:ind w:left="0" w:leftChars="0" w:firstLine="0" w:firstLineChars="0"/>
        <w:rPr>
          <w:rFonts w:asciiTheme="minorEastAsia" w:hAnsiTheme="minorEastAsia"/>
        </w:rPr>
      </w:pPr>
    </w:p>
    <w:p>
      <w:pPr>
        <w:pStyle w:val="15"/>
        <w:ind w:left="0" w:leftChars="0" w:firstLine="0" w:firstLineChars="0"/>
        <w:rPr>
          <w:rFonts w:asciiTheme="minorEastAsia" w:hAnsiTheme="minorEastAsia"/>
        </w:rPr>
      </w:pP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pPr>
      <w:bookmarkStart w:id="32" w:name="_Toc3676"/>
      <w:r>
        <w:rPr>
          <w:rFonts w:hint="eastAsia"/>
          <w:b/>
          <w:sz w:val="32"/>
          <w:szCs w:val="32"/>
        </w:rPr>
        <w:t>第二章   投标人须知及前附表</w:t>
      </w:r>
      <w:bookmarkEnd w:id="32"/>
    </w:p>
    <w:p>
      <w:pPr>
        <w:spacing w:line="360" w:lineRule="auto"/>
        <w:ind w:firstLine="420" w:firstLineChars="200"/>
      </w:pPr>
      <w:r>
        <w:rPr>
          <w:rFonts w:hint="eastAsia" w:asciiTheme="minorEastAsia" w:hAnsiTheme="minorEastAsia"/>
          <w:bCs/>
          <w:kern w:val="44"/>
          <w:szCs w:val="21"/>
        </w:rPr>
        <w:t>投标人须知及</w:t>
      </w:r>
      <w:r>
        <w:rPr>
          <w:rFonts w:hint="eastAsia" w:asciiTheme="minorEastAsia" w:hAnsiTheme="minorEastAsia"/>
          <w:szCs w:val="21"/>
        </w:rPr>
        <w:t>前附表</w:t>
      </w:r>
    </w:p>
    <w:tbl>
      <w:tblPr>
        <w:tblStyle w:val="16"/>
        <w:tblW w:w="9286" w:type="dxa"/>
        <w:tblInd w:w="0" w:type="dxa"/>
        <w:tblLayout w:type="fixed"/>
        <w:tblCellMar>
          <w:top w:w="0" w:type="dxa"/>
          <w:left w:w="108" w:type="dxa"/>
          <w:bottom w:w="0" w:type="dxa"/>
          <w:right w:w="108" w:type="dxa"/>
        </w:tblCellMar>
      </w:tblPr>
      <w:tblGrid>
        <w:gridCol w:w="1101"/>
        <w:gridCol w:w="2775"/>
        <w:gridCol w:w="5410"/>
      </w:tblGrid>
      <w:tr>
        <w:tblPrEx>
          <w:tblCellMar>
            <w:top w:w="0" w:type="dxa"/>
            <w:left w:w="108" w:type="dxa"/>
            <w:bottom w:w="0" w:type="dxa"/>
            <w:right w:w="108" w:type="dxa"/>
          </w:tblCellMar>
        </w:tblPrEx>
        <w:trPr>
          <w:trHeight w:val="270" w:hRule="atLeast"/>
        </w:trPr>
        <w:tc>
          <w:tcPr>
            <w:tcW w:w="11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jc w:val="center"/>
              <w:rPr>
                <w:szCs w:val="21"/>
              </w:rPr>
            </w:pPr>
            <w:r>
              <w:rPr>
                <w:rFonts w:hint="eastAsia" w:ascii="宋体" w:hAnsi="宋体" w:cs="宋体"/>
                <w:color w:val="000000"/>
                <w:kern w:val="0"/>
                <w:szCs w:val="21"/>
              </w:rPr>
              <w:t>序号</w:t>
            </w:r>
          </w:p>
        </w:tc>
        <w:tc>
          <w:tcPr>
            <w:tcW w:w="2775"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ind w:firstLine="420" w:firstLineChars="200"/>
              <w:jc w:val="both"/>
              <w:rPr>
                <w:szCs w:val="21"/>
              </w:rPr>
            </w:pPr>
            <w:r>
              <w:rPr>
                <w:rFonts w:hint="eastAsia" w:ascii="宋体" w:hAnsi="宋体" w:cs="宋体"/>
                <w:color w:val="000000"/>
                <w:kern w:val="0"/>
                <w:szCs w:val="21"/>
              </w:rPr>
              <w:t>项目</w:t>
            </w:r>
          </w:p>
        </w:tc>
        <w:tc>
          <w:tcPr>
            <w:tcW w:w="5410" w:type="dxa"/>
            <w:tcBorders>
              <w:top w:val="single" w:color="auto" w:sz="4" w:space="0"/>
              <w:left w:val="nil"/>
              <w:bottom w:val="single" w:color="auto" w:sz="4" w:space="0"/>
              <w:right w:val="single" w:color="auto" w:sz="4" w:space="0"/>
            </w:tcBorders>
            <w:shd w:val="clear" w:color="auto" w:fill="auto"/>
            <w:vAlign w:val="center"/>
          </w:tcPr>
          <w:p>
            <w:pPr>
              <w:widowControl/>
              <w:spacing w:line="360" w:lineRule="auto"/>
              <w:ind w:firstLine="420" w:firstLineChars="200"/>
              <w:jc w:val="center"/>
              <w:rPr>
                <w:szCs w:val="21"/>
              </w:rPr>
            </w:pPr>
            <w:r>
              <w:rPr>
                <w:rFonts w:hint="eastAsia" w:ascii="宋体" w:hAnsi="宋体" w:cs="宋体"/>
                <w:color w:val="000000"/>
                <w:kern w:val="0"/>
                <w:szCs w:val="21"/>
              </w:rPr>
              <w:t>内容</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szCs w:val="21"/>
              </w:rPr>
              <w:t>1</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jc w:val="left"/>
              <w:rPr>
                <w:szCs w:val="21"/>
              </w:rPr>
            </w:pPr>
            <w:r>
              <w:rPr>
                <w:rFonts w:hint="eastAsia" w:ascii="宋体" w:hAnsi="宋体" w:cs="宋体"/>
                <w:color w:val="000000"/>
                <w:kern w:val="0"/>
                <w:szCs w:val="21"/>
              </w:rPr>
              <w:t>项目名称</w:t>
            </w:r>
          </w:p>
        </w:tc>
        <w:tc>
          <w:tcPr>
            <w:tcW w:w="5410" w:type="dxa"/>
            <w:tcBorders>
              <w:top w:val="nil"/>
              <w:left w:val="nil"/>
              <w:bottom w:val="single" w:color="auto" w:sz="4" w:space="0"/>
              <w:right w:val="single" w:color="auto" w:sz="4" w:space="0"/>
            </w:tcBorders>
            <w:shd w:val="clear" w:color="auto" w:fill="auto"/>
            <w:vAlign w:val="center"/>
          </w:tcPr>
          <w:p>
            <w:pPr>
              <w:spacing w:line="360" w:lineRule="auto"/>
              <w:ind w:firstLine="420" w:firstLineChars="200"/>
            </w:pPr>
            <w:r>
              <w:rPr>
                <w:rFonts w:hint="eastAsia" w:hAnsi="宋体"/>
                <w:lang w:val="en-US" w:eastAsia="zh-CN"/>
              </w:rPr>
              <w:t>菲律宾卡琳娜住房项目铝模采购</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szCs w:val="21"/>
              </w:rPr>
              <w:t>2</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jc w:val="left"/>
              <w:rPr>
                <w:szCs w:val="21"/>
              </w:rPr>
            </w:pPr>
            <w:r>
              <w:rPr>
                <w:rFonts w:hint="eastAsia" w:ascii="宋体" w:hAnsi="宋体" w:cs="宋体"/>
                <w:color w:val="000000"/>
                <w:kern w:val="0"/>
                <w:szCs w:val="21"/>
              </w:rPr>
              <w:t>招标编号</w:t>
            </w:r>
          </w:p>
        </w:tc>
        <w:tc>
          <w:tcPr>
            <w:tcW w:w="5410"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ascii="宋体" w:hAnsi="宋体" w:eastAsiaTheme="minorEastAsia" w:cstheme="minorBidi"/>
                <w:b w:val="0"/>
                <w:bCs w:val="0"/>
                <w:kern w:val="2"/>
                <w:sz w:val="21"/>
                <w:szCs w:val="24"/>
                <w:lang w:val="en-US" w:eastAsia="zh-CN" w:bidi="ar-SA"/>
              </w:rPr>
              <w:t>ZWDSGYL-ZB-2021003</w:t>
            </w:r>
          </w:p>
        </w:tc>
      </w:tr>
      <w:tr>
        <w:tblPrEx>
          <w:tblCellMar>
            <w:top w:w="0" w:type="dxa"/>
            <w:left w:w="108" w:type="dxa"/>
            <w:bottom w:w="0" w:type="dxa"/>
            <w:right w:w="108" w:type="dxa"/>
          </w:tblCellMar>
        </w:tblPrEx>
        <w:trPr>
          <w:trHeight w:val="299"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szCs w:val="21"/>
              </w:rPr>
              <w:t>3</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jc w:val="left"/>
              <w:rPr>
                <w:szCs w:val="21"/>
              </w:rPr>
            </w:pPr>
            <w:r>
              <w:rPr>
                <w:rFonts w:hint="eastAsia" w:ascii="宋体" w:hAnsi="宋体" w:cs="宋体"/>
                <w:color w:val="000000"/>
                <w:kern w:val="0"/>
                <w:szCs w:val="21"/>
              </w:rPr>
              <w:t>招标方式</w:t>
            </w:r>
          </w:p>
        </w:tc>
        <w:tc>
          <w:tcPr>
            <w:tcW w:w="5410"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rPr>
              <w:t>公开</w:t>
            </w:r>
            <w:r>
              <w:rPr>
                <w:rFonts w:hint="eastAsia" w:ascii="宋体" w:hAnsi="宋体" w:cs="宋体"/>
                <w:color w:val="000000"/>
                <w:kern w:val="0"/>
                <w:szCs w:val="21"/>
              </w:rPr>
              <w:t>招标</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szCs w:val="21"/>
              </w:rPr>
              <w:t>4</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jc w:val="left"/>
              <w:rPr>
                <w:szCs w:val="21"/>
              </w:rPr>
            </w:pPr>
            <w:r>
              <w:rPr>
                <w:rFonts w:hint="eastAsia" w:ascii="宋体" w:hAnsi="宋体" w:cs="宋体"/>
                <w:color w:val="000000"/>
                <w:kern w:val="0"/>
                <w:szCs w:val="21"/>
              </w:rPr>
              <w:t>投标文件</w:t>
            </w:r>
          </w:p>
        </w:tc>
        <w:tc>
          <w:tcPr>
            <w:tcW w:w="5410"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hint="default" w:eastAsiaTheme="minorEastAsia"/>
                <w:szCs w:val="21"/>
                <w:lang w:val="en-US" w:eastAsia="zh-CN"/>
              </w:rPr>
            </w:pPr>
            <w:r>
              <w:rPr>
                <w:rFonts w:hint="eastAsia" w:ascii="宋体" w:hAnsi="宋体" w:cs="宋体"/>
                <w:color w:val="000000"/>
                <w:kern w:val="0"/>
                <w:szCs w:val="21"/>
              </w:rPr>
              <w:t>电子版壹份</w:t>
            </w:r>
            <w:r>
              <w:rPr>
                <w:rFonts w:hint="eastAsia" w:ascii="宋体" w:hAnsi="宋体" w:cs="宋体"/>
                <w:color w:val="000000"/>
                <w:kern w:val="0"/>
                <w:szCs w:val="21"/>
                <w:lang w:eastAsia="zh-CN"/>
              </w:rPr>
              <w:t>、</w:t>
            </w:r>
            <w:r>
              <w:rPr>
                <w:rFonts w:hint="eastAsia" w:ascii="宋体" w:hAnsi="宋体" w:cs="宋体"/>
                <w:color w:val="000000"/>
                <w:kern w:val="0"/>
                <w:szCs w:val="21"/>
                <w:lang w:val="en-US" w:eastAsia="zh-CN"/>
              </w:rPr>
              <w:t>纸质密封版壹份</w:t>
            </w:r>
          </w:p>
        </w:tc>
      </w:tr>
      <w:tr>
        <w:tblPrEx>
          <w:tblCellMar>
            <w:top w:w="0" w:type="dxa"/>
            <w:left w:w="108" w:type="dxa"/>
            <w:bottom w:w="0" w:type="dxa"/>
            <w:right w:w="108" w:type="dxa"/>
          </w:tblCellMar>
        </w:tblPrEx>
        <w:trPr>
          <w:trHeight w:val="3061"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5</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rPr>
                <w:szCs w:val="21"/>
              </w:rPr>
            </w:pPr>
            <w:r>
              <w:rPr>
                <w:rFonts w:hint="eastAsia" w:ascii="宋体" w:hAnsi="宋体" w:cs="宋体"/>
                <w:color w:val="000000"/>
                <w:kern w:val="0"/>
                <w:szCs w:val="21"/>
              </w:rPr>
              <w:t>投标文件递交地点及方式</w:t>
            </w:r>
          </w:p>
        </w:tc>
        <w:tc>
          <w:tcPr>
            <w:tcW w:w="5410" w:type="dxa"/>
            <w:tcBorders>
              <w:top w:val="nil"/>
              <w:left w:val="nil"/>
              <w:bottom w:val="single" w:color="auto" w:sz="4" w:space="0"/>
              <w:right w:val="single" w:color="auto" w:sz="4" w:space="0"/>
            </w:tcBorders>
            <w:shd w:val="clear" w:color="auto" w:fill="auto"/>
            <w:vAlign w:val="center"/>
          </w:tcPr>
          <w:p>
            <w:pPr>
              <w:pStyle w:val="8"/>
              <w:tabs>
                <w:tab w:val="left" w:pos="8360"/>
              </w:tabs>
              <w:adjustRightInd w:val="0"/>
              <w:snapToGrid w:val="0"/>
              <w:spacing w:line="420" w:lineRule="exact"/>
              <w:ind w:left="360" w:hanging="360"/>
              <w:jc w:val="left"/>
              <w:rPr>
                <w:rFonts w:hint="default"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投标文件递交方式：电子邮件投标</w:t>
            </w:r>
          </w:p>
          <w:p>
            <w:pPr>
              <w:pStyle w:val="8"/>
              <w:tabs>
                <w:tab w:val="left" w:pos="8360"/>
              </w:tabs>
              <w:adjustRightInd w:val="0"/>
              <w:snapToGrid w:val="0"/>
              <w:spacing w:line="420" w:lineRule="exact"/>
              <w:ind w:left="360" w:hanging="360"/>
              <w:jc w:val="left"/>
              <w:rPr>
                <w:rFonts w:hint="default"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投标文件递交截止时间：2021年</w:t>
            </w:r>
            <w:r>
              <w:rPr>
                <w:rFonts w:hint="eastAsia" w:hAnsi="宋体" w:cs="宋体"/>
                <w:color w:val="000000"/>
                <w:kern w:val="0"/>
                <w:sz w:val="21"/>
                <w:szCs w:val="21"/>
                <w:lang w:val="en-US" w:eastAsia="zh-CN" w:bidi="ar-SA"/>
              </w:rPr>
              <w:t>7</w:t>
            </w:r>
            <w:r>
              <w:rPr>
                <w:rFonts w:hint="eastAsia" w:ascii="宋体" w:hAnsi="宋体" w:cs="宋体" w:eastAsiaTheme="minorEastAsia"/>
                <w:color w:val="000000"/>
                <w:kern w:val="0"/>
                <w:sz w:val="21"/>
                <w:szCs w:val="21"/>
                <w:lang w:val="en-US" w:eastAsia="zh-CN" w:bidi="ar-SA"/>
              </w:rPr>
              <w:t>月</w:t>
            </w:r>
            <w:r>
              <w:rPr>
                <w:rFonts w:hint="eastAsia" w:hAnsi="宋体" w:cs="宋体"/>
                <w:color w:val="000000"/>
                <w:kern w:val="0"/>
                <w:sz w:val="21"/>
                <w:szCs w:val="21"/>
                <w:lang w:val="en-US" w:eastAsia="zh-CN" w:bidi="ar-SA"/>
              </w:rPr>
              <w:t>16</w:t>
            </w:r>
            <w:r>
              <w:rPr>
                <w:rFonts w:hint="eastAsia" w:ascii="宋体" w:hAnsi="宋体" w:cs="宋体" w:eastAsiaTheme="minorEastAsia"/>
                <w:color w:val="000000"/>
                <w:kern w:val="0"/>
                <w:sz w:val="21"/>
                <w:szCs w:val="21"/>
                <w:lang w:val="en-US" w:eastAsia="zh-CN" w:bidi="ar-SA"/>
              </w:rPr>
              <w:t>日8：00（北京时间）前</w:t>
            </w:r>
          </w:p>
          <w:p>
            <w:pPr>
              <w:pStyle w:val="8"/>
              <w:tabs>
                <w:tab w:val="left" w:pos="8360"/>
              </w:tabs>
              <w:adjustRightInd w:val="0"/>
              <w:snapToGrid w:val="0"/>
              <w:spacing w:line="420" w:lineRule="exact"/>
              <w:ind w:left="360" w:hanging="360"/>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投标截止时间（开标时间）：2021年</w:t>
            </w:r>
            <w:r>
              <w:rPr>
                <w:rFonts w:hint="eastAsia" w:hAnsi="宋体" w:cs="宋体"/>
                <w:color w:val="000000"/>
                <w:kern w:val="0"/>
                <w:sz w:val="21"/>
                <w:szCs w:val="21"/>
                <w:lang w:val="en-US" w:eastAsia="zh-CN" w:bidi="ar-SA"/>
              </w:rPr>
              <w:t>7</w:t>
            </w:r>
            <w:r>
              <w:rPr>
                <w:rFonts w:hint="eastAsia" w:ascii="宋体" w:hAnsi="宋体" w:cs="宋体" w:eastAsiaTheme="minorEastAsia"/>
                <w:color w:val="000000"/>
                <w:kern w:val="0"/>
                <w:sz w:val="21"/>
                <w:szCs w:val="21"/>
                <w:lang w:val="en-US" w:eastAsia="zh-CN" w:bidi="ar-SA"/>
              </w:rPr>
              <w:t>月</w:t>
            </w:r>
            <w:r>
              <w:rPr>
                <w:rFonts w:hint="eastAsia" w:hAnsi="宋体" w:cs="宋体"/>
                <w:color w:val="000000"/>
                <w:kern w:val="0"/>
                <w:sz w:val="21"/>
                <w:szCs w:val="21"/>
                <w:lang w:val="en-US" w:eastAsia="zh-CN" w:bidi="ar-SA"/>
              </w:rPr>
              <w:t>16</w:t>
            </w:r>
            <w:r>
              <w:rPr>
                <w:rFonts w:hint="eastAsia" w:ascii="宋体" w:hAnsi="宋体" w:cs="宋体" w:eastAsiaTheme="minorEastAsia"/>
                <w:color w:val="000000"/>
                <w:kern w:val="0"/>
                <w:sz w:val="21"/>
                <w:szCs w:val="21"/>
                <w:lang w:val="en-US" w:eastAsia="zh-CN" w:bidi="ar-SA"/>
              </w:rPr>
              <w:t>日10：00（北京时间）</w:t>
            </w:r>
          </w:p>
          <w:p>
            <w:pPr>
              <w:pStyle w:val="8"/>
              <w:tabs>
                <w:tab w:val="left" w:pos="8360"/>
              </w:tabs>
              <w:adjustRightInd w:val="0"/>
              <w:snapToGrid w:val="0"/>
              <w:spacing w:line="420" w:lineRule="exact"/>
              <w:ind w:left="360" w:hanging="360"/>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地址：中武（福建）跨境电子商务有限责任公司</w:t>
            </w:r>
          </w:p>
          <w:p>
            <w:pPr>
              <w:pStyle w:val="8"/>
              <w:tabs>
                <w:tab w:val="left" w:pos="8360"/>
              </w:tabs>
              <w:adjustRightInd w:val="0"/>
              <w:snapToGrid w:val="0"/>
              <w:spacing w:line="420" w:lineRule="exact"/>
              <w:ind w:left="360" w:hanging="360"/>
              <w:jc w:val="left"/>
              <w:rPr>
                <w:rFonts w:hint="default"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 xml:space="preserve">（福州市鼓楼区东街33号武夷中心15层） </w:t>
            </w:r>
          </w:p>
          <w:p>
            <w:pPr>
              <w:pStyle w:val="8"/>
              <w:tabs>
                <w:tab w:val="left" w:pos="8360"/>
              </w:tabs>
              <w:adjustRightInd w:val="0"/>
              <w:snapToGrid w:val="0"/>
              <w:spacing w:line="420" w:lineRule="exact"/>
              <w:ind w:left="360" w:hanging="360"/>
              <w:jc w:val="left"/>
              <w:rPr>
                <w:rFonts w:hint="eastAsia" w:ascii="宋体" w:hAnsi="宋体" w:cs="宋体" w:eastAsiaTheme="minorEastAsia"/>
                <w:color w:val="000000"/>
                <w:kern w:val="0"/>
                <w:sz w:val="21"/>
                <w:szCs w:val="21"/>
                <w:lang w:val="en-US" w:eastAsia="zh-CN" w:bidi="ar-SA"/>
              </w:rPr>
            </w:pPr>
            <w:r>
              <w:rPr>
                <w:rFonts w:hint="eastAsia" w:ascii="宋体" w:hAnsi="宋体" w:cs="宋体" w:eastAsiaTheme="minorEastAsia"/>
                <w:color w:val="000000"/>
                <w:kern w:val="0"/>
                <w:sz w:val="21"/>
                <w:szCs w:val="21"/>
                <w:lang w:val="en-US" w:eastAsia="zh-CN" w:bidi="ar-SA"/>
              </w:rPr>
              <w:t>邮箱：</w:t>
            </w:r>
            <w:r>
              <w:rPr>
                <w:rFonts w:hint="eastAsia" w:ascii="宋体" w:hAnsi="宋体" w:cs="宋体" w:eastAsiaTheme="minorEastAsia"/>
                <w:color w:val="000000"/>
                <w:kern w:val="0"/>
                <w:sz w:val="21"/>
                <w:szCs w:val="21"/>
                <w:lang w:val="en-US" w:eastAsia="zh-CN" w:bidi="ar-SA"/>
              </w:rPr>
              <w:fldChar w:fldCharType="begin"/>
            </w:r>
            <w:r>
              <w:rPr>
                <w:rFonts w:hint="eastAsia" w:ascii="宋体" w:hAnsi="宋体" w:cs="宋体" w:eastAsiaTheme="minorEastAsia"/>
                <w:color w:val="000000"/>
                <w:kern w:val="0"/>
                <w:sz w:val="21"/>
                <w:szCs w:val="21"/>
                <w:lang w:val="en-US" w:eastAsia="zh-CN" w:bidi="ar-SA"/>
              </w:rPr>
              <w:instrText xml:space="preserve"> HYPERLINK "mailto:pur1@wuyiec.com.cn" </w:instrText>
            </w:r>
            <w:r>
              <w:rPr>
                <w:rFonts w:hint="eastAsia" w:ascii="宋体" w:hAnsi="宋体" w:cs="宋体" w:eastAsiaTheme="minorEastAsia"/>
                <w:color w:val="000000"/>
                <w:kern w:val="0"/>
                <w:sz w:val="21"/>
                <w:szCs w:val="21"/>
                <w:lang w:val="en-US" w:eastAsia="zh-CN" w:bidi="ar-SA"/>
              </w:rPr>
              <w:fldChar w:fldCharType="separate"/>
            </w:r>
            <w:r>
              <w:rPr>
                <w:rFonts w:hint="eastAsia" w:ascii="宋体" w:hAnsi="宋体" w:cs="宋体" w:eastAsiaTheme="minorEastAsia"/>
                <w:color w:val="000000"/>
                <w:kern w:val="0"/>
                <w:sz w:val="21"/>
                <w:szCs w:val="21"/>
                <w:lang w:val="en-US" w:eastAsia="zh-CN" w:bidi="ar-SA"/>
              </w:rPr>
              <w:t>pur1@wuyiec.com.cn</w:t>
            </w:r>
            <w:r>
              <w:rPr>
                <w:rFonts w:hint="eastAsia" w:ascii="宋体" w:hAnsi="宋体" w:cs="宋体" w:eastAsiaTheme="minorEastAsia"/>
                <w:color w:val="000000"/>
                <w:kern w:val="0"/>
                <w:sz w:val="21"/>
                <w:szCs w:val="21"/>
                <w:lang w:val="en-US" w:eastAsia="zh-CN" w:bidi="ar-SA"/>
              </w:rPr>
              <w:fldChar w:fldCharType="end"/>
            </w:r>
          </w:p>
          <w:p>
            <w:pPr>
              <w:pStyle w:val="8"/>
              <w:tabs>
                <w:tab w:val="left" w:pos="8360"/>
              </w:tabs>
              <w:adjustRightInd w:val="0"/>
              <w:snapToGrid w:val="0"/>
              <w:spacing w:line="420" w:lineRule="exact"/>
              <w:ind w:left="360" w:hanging="360"/>
              <w:jc w:val="left"/>
              <w:rPr>
                <w:szCs w:val="21"/>
              </w:rPr>
            </w:pPr>
            <w:r>
              <w:rPr>
                <w:rFonts w:hint="eastAsia" w:ascii="宋体" w:hAnsi="宋体" w:cs="宋体" w:eastAsiaTheme="minorEastAsia"/>
                <w:color w:val="000000"/>
                <w:kern w:val="0"/>
                <w:sz w:val="21"/>
                <w:szCs w:val="21"/>
                <w:lang w:val="en-US" w:eastAsia="zh-CN" w:bidi="ar-SA"/>
              </w:rPr>
              <w:t>接收人：康冬妮</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6</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ascii="宋体" w:hAnsi="宋体" w:cs="宋体"/>
                <w:color w:val="000000"/>
                <w:kern w:val="0"/>
                <w:szCs w:val="21"/>
              </w:rPr>
              <w:t>开标</w:t>
            </w:r>
            <w:r>
              <w:rPr>
                <w:rFonts w:hint="eastAsia" w:ascii="宋体" w:hAnsi="宋体" w:cs="宋体"/>
                <w:color w:val="000000"/>
                <w:kern w:val="0"/>
                <w:szCs w:val="21"/>
                <w:lang w:val="en-US" w:eastAsia="zh-CN"/>
              </w:rPr>
              <w:t>时间及</w:t>
            </w:r>
            <w:r>
              <w:rPr>
                <w:rFonts w:hint="eastAsia" w:ascii="宋体" w:hAnsi="宋体" w:cs="宋体"/>
                <w:color w:val="000000"/>
                <w:kern w:val="0"/>
                <w:szCs w:val="21"/>
              </w:rPr>
              <w:t>地点</w:t>
            </w:r>
          </w:p>
        </w:tc>
        <w:tc>
          <w:tcPr>
            <w:tcW w:w="5410"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ascii="宋体" w:hAnsi="宋体" w:cs="宋体" w:eastAsiaTheme="minorEastAsia"/>
                <w:color w:val="000000"/>
                <w:kern w:val="0"/>
                <w:sz w:val="21"/>
                <w:szCs w:val="21"/>
                <w:lang w:val="en-US" w:eastAsia="zh-CN" w:bidi="ar-SA"/>
              </w:rPr>
              <w:t>同投标截止时间及上述地址。</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7</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ascii="宋体" w:hAnsi="宋体" w:cs="宋体"/>
                <w:color w:val="000000"/>
                <w:kern w:val="0"/>
                <w:szCs w:val="21"/>
              </w:rPr>
              <w:t>评标方法</w:t>
            </w:r>
          </w:p>
        </w:tc>
        <w:tc>
          <w:tcPr>
            <w:tcW w:w="5410"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ascii="宋体" w:hAnsi="宋体" w:cs="宋体"/>
                <w:color w:val="000000"/>
                <w:kern w:val="0"/>
                <w:szCs w:val="21"/>
              </w:rPr>
              <w:t>综合因素评分法</w:t>
            </w:r>
          </w:p>
        </w:tc>
      </w:tr>
      <w:tr>
        <w:tblPrEx>
          <w:tblCellMar>
            <w:top w:w="0" w:type="dxa"/>
            <w:left w:w="108" w:type="dxa"/>
            <w:bottom w:w="0" w:type="dxa"/>
            <w:right w:w="108" w:type="dxa"/>
          </w:tblCellMar>
        </w:tblPrEx>
        <w:trPr>
          <w:trHeight w:val="270" w:hRule="atLeast"/>
        </w:trPr>
        <w:tc>
          <w:tcPr>
            <w:tcW w:w="1101"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8</w:t>
            </w:r>
          </w:p>
        </w:tc>
        <w:tc>
          <w:tcPr>
            <w:tcW w:w="2775"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ascii="宋体" w:hAnsi="宋体" w:cs="宋体"/>
                <w:color w:val="000000"/>
                <w:kern w:val="0"/>
                <w:szCs w:val="21"/>
              </w:rPr>
              <w:t>投标保证金</w:t>
            </w:r>
          </w:p>
        </w:tc>
        <w:tc>
          <w:tcPr>
            <w:tcW w:w="5410"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szCs w:val="21"/>
              </w:rPr>
            </w:pPr>
            <w:r>
              <w:rPr>
                <w:rFonts w:hint="eastAsia"/>
                <w:szCs w:val="21"/>
              </w:rPr>
              <w:t>无</w:t>
            </w:r>
          </w:p>
        </w:tc>
      </w:tr>
    </w:tbl>
    <w:p>
      <w:pPr>
        <w:widowControl/>
        <w:spacing w:line="360" w:lineRule="auto"/>
        <w:ind w:firstLine="420" w:firstLineChars="200"/>
        <w:rPr>
          <w:szCs w:val="21"/>
        </w:rPr>
      </w:pPr>
    </w:p>
    <w:tbl>
      <w:tblPr>
        <w:tblStyle w:val="16"/>
        <w:tblW w:w="9269" w:type="dxa"/>
        <w:tblInd w:w="0" w:type="dxa"/>
        <w:tblLayout w:type="fixed"/>
        <w:tblCellMar>
          <w:top w:w="0" w:type="dxa"/>
          <w:left w:w="108" w:type="dxa"/>
          <w:bottom w:w="0" w:type="dxa"/>
          <w:right w:w="108" w:type="dxa"/>
        </w:tblCellMar>
      </w:tblPr>
      <w:tblGrid>
        <w:gridCol w:w="1101"/>
        <w:gridCol w:w="2768"/>
        <w:gridCol w:w="5400"/>
      </w:tblGrid>
      <w:tr>
        <w:trPr>
          <w:trHeight w:val="567"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szCs w:val="21"/>
              </w:rPr>
            </w:pPr>
            <w:r>
              <w:rPr>
                <w:rFonts w:hint="eastAsia" w:ascii="宋体" w:hAnsi="宋体" w:cs="宋体"/>
                <w:color w:val="000000"/>
                <w:kern w:val="0"/>
                <w:szCs w:val="21"/>
              </w:rPr>
              <w:t>序号</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项目</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jc w:val="center"/>
              <w:rPr>
                <w:szCs w:val="21"/>
              </w:rPr>
            </w:pPr>
            <w:r>
              <w:rPr>
                <w:rFonts w:hint="eastAsia" w:ascii="宋体" w:hAnsi="宋体" w:cs="宋体"/>
                <w:color w:val="000000"/>
                <w:kern w:val="0"/>
                <w:szCs w:val="21"/>
              </w:rPr>
              <w:t>内容</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1</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招标组织机构</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eastAsiaTheme="minorEastAsia"/>
                <w:color w:val="000000"/>
                <w:kern w:val="0"/>
                <w:sz w:val="21"/>
                <w:szCs w:val="21"/>
                <w:lang w:val="en-US" w:eastAsia="zh-CN" w:bidi="ar-SA"/>
              </w:rPr>
              <w:t>中武（福建）跨境电子商务有限责任公司</w:t>
            </w:r>
          </w:p>
        </w:tc>
      </w:tr>
      <w:tr>
        <w:tblPrEx>
          <w:tblCellMar>
            <w:top w:w="0" w:type="dxa"/>
            <w:left w:w="108" w:type="dxa"/>
            <w:bottom w:w="0" w:type="dxa"/>
            <w:right w:w="108" w:type="dxa"/>
          </w:tblCellMar>
        </w:tblPrEx>
        <w:trPr>
          <w:trHeight w:val="796"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2</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项目名称</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hAnsi="宋体"/>
                <w:lang w:val="en-US" w:eastAsia="zh-CN"/>
              </w:rPr>
              <w:t>菲律宾卡琳娜住房项目铝模采购</w:t>
            </w:r>
          </w:p>
        </w:tc>
      </w:tr>
      <w:tr>
        <w:tblPrEx>
          <w:tblCellMar>
            <w:top w:w="0" w:type="dxa"/>
            <w:left w:w="108" w:type="dxa"/>
            <w:bottom w:w="0" w:type="dxa"/>
            <w:right w:w="108" w:type="dxa"/>
          </w:tblCellMar>
        </w:tblPrEx>
        <w:trPr>
          <w:trHeight w:val="710"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3</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招标内容</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rFonts w:hint="default" w:eastAsiaTheme="minorEastAsia"/>
                <w:lang w:val="en-US" w:eastAsia="zh-CN"/>
              </w:rPr>
            </w:pPr>
            <w:r>
              <w:rPr>
                <w:rFonts w:hint="eastAsia"/>
              </w:rPr>
              <w:t>铝模板</w:t>
            </w:r>
            <w:r>
              <w:rPr>
                <w:rFonts w:hint="eastAsia"/>
                <w:lang w:val="en-US" w:eastAsia="zh-CN"/>
              </w:rPr>
              <w:t>系统</w:t>
            </w:r>
          </w:p>
        </w:tc>
      </w:tr>
      <w:tr>
        <w:tblPrEx>
          <w:tblCellMar>
            <w:top w:w="0" w:type="dxa"/>
            <w:left w:w="108" w:type="dxa"/>
            <w:bottom w:w="0" w:type="dxa"/>
            <w:right w:w="108" w:type="dxa"/>
          </w:tblCellMar>
        </w:tblPrEx>
        <w:tc>
          <w:tcPr>
            <w:tcW w:w="110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4</w:t>
            </w:r>
          </w:p>
        </w:tc>
        <w:tc>
          <w:tcPr>
            <w:tcW w:w="2768" w:type="dxa"/>
            <w:vMerge w:val="restart"/>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投标人应具备承担本招标物资生产供应能力</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营业范围要求</w:t>
            </w:r>
            <w:r>
              <w:rPr>
                <w:rFonts w:hint="eastAsia"/>
                <w:szCs w:val="21"/>
              </w:rPr>
              <w:t>:投标人必须在其所在国合法注册，具有独立法人资格，具有增值税一般纳税人资格，并持有制造商授权代理人的有效证件，从事类似工作</w:t>
            </w:r>
            <w:r>
              <w:rPr>
                <w:rFonts w:hint="eastAsia"/>
                <w:szCs w:val="21"/>
                <w:lang w:val="en-US" w:eastAsia="zh-CN"/>
              </w:rPr>
              <w:t>3</w:t>
            </w:r>
            <w:r>
              <w:rPr>
                <w:rFonts w:hint="eastAsia"/>
                <w:szCs w:val="21"/>
              </w:rPr>
              <w:t>年以上。</w:t>
            </w:r>
          </w:p>
        </w:tc>
      </w:tr>
      <w:tr>
        <w:tblPrEx>
          <w:tblCellMar>
            <w:top w:w="0" w:type="dxa"/>
            <w:left w:w="108" w:type="dxa"/>
            <w:bottom w:w="0" w:type="dxa"/>
            <w:right w:w="108" w:type="dxa"/>
          </w:tblCellMar>
        </w:tblPrEx>
        <w:trPr>
          <w:trHeight w:val="115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p>
        </w:tc>
        <w:tc>
          <w:tcPr>
            <w:tcW w:w="2768" w:type="dxa"/>
            <w:vMerge w:val="continue"/>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生产能力要求：投标人为生产商的，其主要生产设备型号、台套数或生产线条数需满足供货需求。投标人为销售商应具备相应的仓储条件。</w:t>
            </w:r>
          </w:p>
        </w:tc>
      </w:tr>
      <w:tr>
        <w:tblPrEx>
          <w:tblCellMar>
            <w:top w:w="0" w:type="dxa"/>
            <w:left w:w="108" w:type="dxa"/>
            <w:bottom w:w="0" w:type="dxa"/>
            <w:right w:w="108" w:type="dxa"/>
          </w:tblCellMar>
        </w:tblPrEx>
        <w:trPr>
          <w:trHeight w:val="578"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p>
        </w:tc>
        <w:tc>
          <w:tcPr>
            <w:tcW w:w="2768" w:type="dxa"/>
            <w:vMerge w:val="continue"/>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供货业绩要求：近3年内建筑工程的供货业绩，并提供相关合同执行情和供货合同（不少于3份）</w:t>
            </w:r>
          </w:p>
        </w:tc>
      </w:tr>
      <w:tr>
        <w:tblPrEx>
          <w:tblCellMar>
            <w:top w:w="0" w:type="dxa"/>
            <w:left w:w="108" w:type="dxa"/>
            <w:bottom w:w="0" w:type="dxa"/>
            <w:right w:w="108" w:type="dxa"/>
          </w:tblCellMar>
        </w:tblPrEx>
        <w:trPr>
          <w:trHeight w:val="408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p>
        </w:tc>
        <w:tc>
          <w:tcPr>
            <w:tcW w:w="2768" w:type="dxa"/>
            <w:vMerge w:val="continue"/>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p>
        </w:tc>
        <w:tc>
          <w:tcPr>
            <w:tcW w:w="5400" w:type="dxa"/>
            <w:tcBorders>
              <w:top w:val="single" w:color="auto" w:sz="4" w:space="0"/>
              <w:left w:val="nil"/>
              <w:bottom w:val="single" w:color="auto" w:sz="4" w:space="0"/>
              <w:right w:val="single" w:color="auto" w:sz="4" w:space="0"/>
            </w:tcBorders>
            <w:vAlign w:val="center"/>
          </w:tcPr>
          <w:p>
            <w:pPr>
              <w:spacing w:line="360" w:lineRule="auto"/>
              <w:ind w:firstLine="420" w:firstLineChars="200"/>
              <w:rPr>
                <w:szCs w:val="21"/>
              </w:rPr>
            </w:pPr>
            <w:r>
              <w:rPr>
                <w:rFonts w:hint="eastAsia" w:ascii="宋体" w:hAnsi="宋体" w:cs="宋体"/>
                <w:color w:val="000000"/>
                <w:kern w:val="0"/>
                <w:szCs w:val="21"/>
              </w:rPr>
              <w:t>履约信用要求：</w:t>
            </w:r>
            <w:r>
              <w:rPr>
                <w:rFonts w:ascii="Times New Roman" w:hAnsi="Times New Roman" w:cs="Times New Roman"/>
                <w:color w:val="000000"/>
                <w:szCs w:val="21"/>
              </w:rPr>
              <w:t>供货信誉良好，无不良记录、无不良评价、供货过程中未发生以次充好、违反招标文件和供货合同条款的要求，未受过市级以上行政部门的处罚，未和招标人发生过纠纷、诉讼、仲裁案件等。如有必要，招标人有权对投标文件中有关内容进行调查核实，投标人应给予配合。招标人有权忽略未对投标人履行合同能力构成实质性影响的微小偏差。如果在投标有效期内，对于受到通报批评或被列入黑名单的，招标人有权取消其投标资格；已经中标者，招标人有权取消其中标资格</w:t>
            </w:r>
            <w:r>
              <w:rPr>
                <w:rFonts w:hint="eastAsia" w:ascii="Times New Roman" w:hAnsi="Times New Roman" w:cs="Times New Roman"/>
                <w:color w:val="000000"/>
                <w:szCs w:val="21"/>
              </w:rPr>
              <w:t>。</w:t>
            </w:r>
          </w:p>
        </w:tc>
      </w:tr>
      <w:tr>
        <w:tblPrEx>
          <w:tblCellMar>
            <w:top w:w="0" w:type="dxa"/>
            <w:left w:w="108" w:type="dxa"/>
            <w:bottom w:w="0" w:type="dxa"/>
            <w:right w:w="108" w:type="dxa"/>
          </w:tblCellMar>
        </w:tblPrEx>
        <w:trPr>
          <w:trHeight w:val="1622"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p>
        </w:tc>
        <w:tc>
          <w:tcPr>
            <w:tcW w:w="2768" w:type="dxa"/>
            <w:vMerge w:val="continue"/>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rPr>
                <w:szCs w:val="21"/>
              </w:rPr>
            </w:pPr>
            <w:r>
              <w:rPr>
                <w:rFonts w:hint="eastAsia" w:ascii="宋体" w:hAnsi="宋体" w:cs="宋体"/>
                <w:color w:val="000000"/>
                <w:kern w:val="0"/>
                <w:szCs w:val="21"/>
              </w:rPr>
              <w:t>其他要求：投标人必须保证中标后直接供应，否则视为中标人违约，扣除全部履约保证金。投标人应确保提供的相关资料齐全并且真实有效，否则承担一切法律责任。</w:t>
            </w:r>
          </w:p>
        </w:tc>
      </w:tr>
      <w:tr>
        <w:tblPrEx>
          <w:tblCellMar>
            <w:top w:w="0" w:type="dxa"/>
            <w:left w:w="108" w:type="dxa"/>
            <w:bottom w:w="0" w:type="dxa"/>
            <w:right w:w="108" w:type="dxa"/>
          </w:tblCellMar>
        </w:tblPrEx>
        <w:trPr>
          <w:trHeight w:val="578"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5</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是否接受联合体投标</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不接受</w:t>
            </w:r>
          </w:p>
        </w:tc>
      </w:tr>
      <w:tr>
        <w:tblPrEx>
          <w:tblCellMar>
            <w:top w:w="0" w:type="dxa"/>
            <w:left w:w="108" w:type="dxa"/>
            <w:bottom w:w="0" w:type="dxa"/>
            <w:right w:w="108" w:type="dxa"/>
          </w:tblCellMar>
        </w:tblPrEx>
        <w:trPr>
          <w:trHeight w:val="558"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6</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投标人提出问题的截至时间</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rPr>
              <w:t>截止时间：</w:t>
            </w:r>
            <w:r>
              <w:rPr>
                <w:rFonts w:hint="eastAsia" w:ascii="宋体" w:hAnsi="宋体" w:cs="宋体"/>
                <w:color w:val="000000"/>
                <w:kern w:val="0"/>
                <w:szCs w:val="21"/>
                <w:lang w:val="en-US" w:eastAsia="zh-CN"/>
              </w:rPr>
              <w:t>2021年7月14日8：00前（北京时间）</w:t>
            </w:r>
          </w:p>
          <w:p>
            <w:pPr>
              <w:widowControl/>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文件发送方式：电子邮件</w:t>
            </w:r>
            <w:r>
              <w:rPr>
                <w:rFonts w:hint="eastAsia" w:ascii="宋体" w:hAnsi="宋体" w:cs="宋体" w:eastAsiaTheme="minorEastAsia"/>
                <w:color w:val="000000"/>
                <w:kern w:val="0"/>
                <w:sz w:val="21"/>
                <w:szCs w:val="21"/>
                <w:lang w:val="en-US" w:eastAsia="zh-CN" w:bidi="ar-SA"/>
              </w:rPr>
              <w:fldChar w:fldCharType="begin"/>
            </w:r>
            <w:r>
              <w:rPr>
                <w:rFonts w:hint="eastAsia" w:ascii="宋体" w:hAnsi="宋体" w:cs="宋体" w:eastAsiaTheme="minorEastAsia"/>
                <w:color w:val="000000"/>
                <w:kern w:val="0"/>
                <w:sz w:val="21"/>
                <w:szCs w:val="21"/>
                <w:lang w:val="en-US" w:eastAsia="zh-CN" w:bidi="ar-SA"/>
              </w:rPr>
              <w:instrText xml:space="preserve"> HYPERLINK "mailto:pur1@wuyiec.com.cn" </w:instrText>
            </w:r>
            <w:r>
              <w:rPr>
                <w:rFonts w:hint="eastAsia" w:ascii="宋体" w:hAnsi="宋体" w:cs="宋体" w:eastAsiaTheme="minorEastAsia"/>
                <w:color w:val="000000"/>
                <w:kern w:val="0"/>
                <w:sz w:val="21"/>
                <w:szCs w:val="21"/>
                <w:lang w:val="en-US" w:eastAsia="zh-CN" w:bidi="ar-SA"/>
              </w:rPr>
              <w:fldChar w:fldCharType="separate"/>
            </w:r>
            <w:r>
              <w:rPr>
                <w:rFonts w:hint="eastAsia" w:ascii="宋体" w:hAnsi="宋体" w:cs="宋体" w:eastAsiaTheme="minorEastAsia"/>
                <w:color w:val="000000"/>
                <w:kern w:val="0"/>
                <w:sz w:val="21"/>
                <w:szCs w:val="21"/>
                <w:lang w:val="en-US" w:eastAsia="zh-CN" w:bidi="ar-SA"/>
              </w:rPr>
              <w:t>pur1@wuyiec.com.cn</w:t>
            </w:r>
            <w:r>
              <w:rPr>
                <w:rFonts w:hint="eastAsia" w:ascii="宋体" w:hAnsi="宋体" w:cs="宋体" w:eastAsiaTheme="minorEastAsia"/>
                <w:color w:val="000000"/>
                <w:kern w:val="0"/>
                <w:sz w:val="21"/>
                <w:szCs w:val="21"/>
                <w:lang w:val="en-US" w:eastAsia="zh-CN" w:bidi="ar-SA"/>
              </w:rPr>
              <w:fldChar w:fldCharType="end"/>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7</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招标人澄清</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rFonts w:ascii="宋体" w:hAnsi="宋体" w:cs="宋体"/>
                <w:color w:val="000000"/>
                <w:kern w:val="0"/>
                <w:szCs w:val="21"/>
                <w:highlight w:val="yellow"/>
              </w:rPr>
            </w:pPr>
            <w:r>
              <w:rPr>
                <w:rFonts w:hint="eastAsia" w:ascii="宋体" w:hAnsi="宋体" w:cs="宋体"/>
                <w:color w:val="000000"/>
                <w:kern w:val="0"/>
                <w:szCs w:val="21"/>
              </w:rPr>
              <w:t>截止时间：</w:t>
            </w:r>
            <w:r>
              <w:rPr>
                <w:rFonts w:hint="eastAsia" w:ascii="宋体" w:hAnsi="宋体" w:cs="宋体"/>
                <w:color w:val="000000"/>
                <w:kern w:val="0"/>
                <w:szCs w:val="21"/>
                <w:lang w:val="en-US" w:eastAsia="zh-CN"/>
              </w:rPr>
              <w:t>2021年7月14日17：00前（北京时间）</w:t>
            </w:r>
          </w:p>
          <w:p>
            <w:pPr>
              <w:pStyle w:val="15"/>
              <w:spacing w:line="360" w:lineRule="auto"/>
              <w:rPr>
                <w:szCs w:val="21"/>
              </w:rPr>
            </w:pPr>
            <w:r>
              <w:rPr>
                <w:rFonts w:hint="eastAsia" w:ascii="宋体" w:hAnsi="宋体" w:cs="宋体" w:eastAsiaTheme="minorEastAsia"/>
                <w:color w:val="000000"/>
                <w:sz w:val="21"/>
                <w:szCs w:val="21"/>
              </w:rPr>
              <w:t>文件发送方式：电子邮件</w:t>
            </w:r>
            <w:r>
              <w:rPr>
                <w:rFonts w:hint="eastAsia" w:ascii="宋体" w:hAnsi="宋体" w:cs="宋体" w:eastAsiaTheme="minorEastAsia"/>
                <w:color w:val="000000"/>
                <w:sz w:val="21"/>
                <w:szCs w:val="21"/>
                <w:lang w:val="en-US" w:eastAsia="zh-CN"/>
              </w:rPr>
              <w:fldChar w:fldCharType="begin"/>
            </w:r>
            <w:r>
              <w:rPr>
                <w:rFonts w:hint="eastAsia" w:ascii="宋体" w:hAnsi="宋体" w:cs="宋体" w:eastAsiaTheme="minorEastAsia"/>
                <w:color w:val="000000"/>
                <w:sz w:val="21"/>
                <w:szCs w:val="21"/>
                <w:lang w:val="en-US" w:eastAsia="zh-CN"/>
              </w:rPr>
              <w:instrText xml:space="preserve"> HYPERLINK "mailto:pur1@wuyiec.com.cn" </w:instrText>
            </w:r>
            <w:r>
              <w:rPr>
                <w:rFonts w:hint="eastAsia" w:ascii="宋体" w:hAnsi="宋体" w:cs="宋体" w:eastAsiaTheme="minorEastAsia"/>
                <w:color w:val="000000"/>
                <w:sz w:val="21"/>
                <w:szCs w:val="21"/>
                <w:lang w:val="en-US" w:eastAsia="zh-CN"/>
              </w:rPr>
              <w:fldChar w:fldCharType="separate"/>
            </w:r>
            <w:r>
              <w:rPr>
                <w:rFonts w:hint="eastAsia" w:ascii="宋体" w:hAnsi="宋体" w:cs="宋体" w:eastAsiaTheme="minorEastAsia"/>
                <w:color w:val="000000"/>
                <w:sz w:val="21"/>
                <w:szCs w:val="21"/>
                <w:lang w:val="en-US" w:eastAsia="zh-CN"/>
              </w:rPr>
              <w:t>pur1@wuyiec.com.cn</w:t>
            </w:r>
            <w:r>
              <w:rPr>
                <w:rFonts w:hint="eastAsia" w:ascii="宋体" w:hAnsi="宋体" w:cs="宋体" w:eastAsiaTheme="minorEastAsia"/>
                <w:color w:val="000000"/>
                <w:sz w:val="21"/>
                <w:szCs w:val="21"/>
                <w:lang w:val="en-US" w:eastAsia="zh-CN"/>
              </w:rPr>
              <w:fldChar w:fldCharType="end"/>
            </w:r>
            <w:r>
              <w:rPr>
                <w:rFonts w:hint="eastAsia" w:ascii="宋体" w:hAnsi="宋体" w:cs="宋体" w:eastAsiaTheme="minorEastAsia"/>
                <w:color w:val="000000"/>
                <w:sz w:val="21"/>
                <w:szCs w:val="21"/>
                <w:lang w:val="en-US" w:eastAsia="zh-CN"/>
              </w:rPr>
              <w:t>，</w:t>
            </w:r>
            <w:r>
              <w:rPr>
                <w:rFonts w:hint="eastAsia" w:ascii="宋体" w:hAnsi="宋体" w:cs="宋体" w:eastAsiaTheme="minorEastAsia"/>
                <w:color w:val="000000"/>
                <w:sz w:val="21"/>
                <w:szCs w:val="21"/>
              </w:rPr>
              <w:t>对招标文件两次以上的澄清、修改如有不一致之处，以日期在后的澄清或补遗为准。</w:t>
            </w:r>
          </w:p>
        </w:tc>
      </w:tr>
      <w:tr>
        <w:tblPrEx>
          <w:tblCellMar>
            <w:top w:w="0" w:type="dxa"/>
            <w:left w:w="108" w:type="dxa"/>
            <w:bottom w:w="0" w:type="dxa"/>
            <w:right w:w="108" w:type="dxa"/>
          </w:tblCellMar>
        </w:tblPrEx>
        <w:trPr>
          <w:trHeight w:val="576"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8</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投标截止时间</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pPr>
            <w:r>
              <w:rPr>
                <w:rFonts w:hint="eastAsia" w:ascii="宋体" w:hAnsi="宋体" w:cs="宋体"/>
                <w:color w:val="000000"/>
                <w:kern w:val="0"/>
                <w:szCs w:val="21"/>
              </w:rPr>
              <w:t>截止时间：</w:t>
            </w:r>
            <w:r>
              <w:rPr>
                <w:rFonts w:hint="eastAsia" w:ascii="宋体" w:hAnsi="宋体" w:cs="宋体"/>
                <w:color w:val="000000"/>
                <w:kern w:val="0"/>
                <w:szCs w:val="21"/>
                <w:lang w:val="en-US" w:eastAsia="zh-CN"/>
              </w:rPr>
              <w:t>2021年7月16日8：00前（北京时间）</w:t>
            </w:r>
          </w:p>
        </w:tc>
      </w:tr>
      <w:tr>
        <w:tblPrEx>
          <w:tblCellMar>
            <w:top w:w="0" w:type="dxa"/>
            <w:left w:w="108" w:type="dxa"/>
            <w:bottom w:w="0" w:type="dxa"/>
            <w:right w:w="108" w:type="dxa"/>
          </w:tblCellMar>
        </w:tblPrEx>
        <w:trPr>
          <w:trHeight w:val="576"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lang w:val="en-US" w:eastAsia="zh-CN"/>
              </w:rPr>
              <w:t>9</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投标有效期</w:t>
            </w:r>
          </w:p>
        </w:tc>
        <w:tc>
          <w:tcPr>
            <w:tcW w:w="5400" w:type="dxa"/>
            <w:tcBorders>
              <w:top w:val="single" w:color="auto" w:sz="4" w:space="0"/>
              <w:left w:val="nil"/>
              <w:bottom w:val="single" w:color="auto" w:sz="4" w:space="0"/>
              <w:right w:val="single" w:color="auto" w:sz="4" w:space="0"/>
            </w:tcBorders>
            <w:vAlign w:val="center"/>
          </w:tcPr>
          <w:p>
            <w:pPr>
              <w:pStyle w:val="15"/>
              <w:spacing w:line="360" w:lineRule="auto"/>
            </w:pPr>
            <w:r>
              <w:rPr>
                <w:rFonts w:hint="eastAsia" w:ascii="宋体" w:hAnsi="宋体" w:cs="宋体" w:eastAsiaTheme="minorEastAsia"/>
                <w:color w:val="000000"/>
                <w:sz w:val="21"/>
                <w:szCs w:val="21"/>
              </w:rPr>
              <w:t>投标有效期：</w:t>
            </w:r>
            <w:r>
              <w:rPr>
                <w:rFonts w:hint="eastAsia" w:ascii="宋体" w:hAnsi="宋体" w:cs="宋体" w:eastAsiaTheme="minorEastAsia"/>
                <w:color w:val="000000"/>
                <w:sz w:val="21"/>
                <w:szCs w:val="21"/>
                <w:lang w:val="en-US" w:eastAsia="zh-CN"/>
              </w:rPr>
              <w:t>10</w:t>
            </w:r>
            <w:r>
              <w:rPr>
                <w:rFonts w:hint="eastAsia" w:ascii="宋体" w:hAnsi="宋体" w:cs="宋体" w:eastAsiaTheme="minorEastAsia"/>
                <w:color w:val="000000"/>
                <w:sz w:val="21"/>
                <w:szCs w:val="21"/>
              </w:rPr>
              <w:t>天（自开标之日起）</w:t>
            </w:r>
          </w:p>
        </w:tc>
      </w:tr>
      <w:tr>
        <w:tblPrEx>
          <w:tblCellMar>
            <w:top w:w="0" w:type="dxa"/>
            <w:left w:w="108" w:type="dxa"/>
            <w:bottom w:w="0" w:type="dxa"/>
            <w:right w:w="108" w:type="dxa"/>
          </w:tblCellMar>
        </w:tblPrEx>
        <w:trPr>
          <w:trHeight w:val="753"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10</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投标保证金</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rFonts w:hint="eastAsia" w:eastAsiaTheme="minorEastAsia"/>
                <w:lang w:eastAsia="zh-CN"/>
              </w:rPr>
            </w:pPr>
            <w:r>
              <w:rPr>
                <w:rFonts w:hint="eastAsia" w:ascii="宋体" w:hAnsi="宋体" w:cs="宋体"/>
                <w:color w:val="000000"/>
                <w:kern w:val="0"/>
                <w:szCs w:val="21"/>
                <w:lang w:val="en-US" w:eastAsia="zh-CN"/>
              </w:rPr>
              <w:t>无</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rPr>
              <w:t>1</w:t>
            </w:r>
            <w:r>
              <w:rPr>
                <w:rFonts w:hint="eastAsia"/>
                <w:szCs w:val="21"/>
                <w:lang w:val="en-US" w:eastAsia="zh-CN"/>
              </w:rPr>
              <w:t>1</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近年财务状况的年份要求</w:t>
            </w:r>
          </w:p>
        </w:tc>
        <w:tc>
          <w:tcPr>
            <w:tcW w:w="5400" w:type="dxa"/>
            <w:tcBorders>
              <w:top w:val="single" w:color="auto" w:sz="4" w:space="0"/>
              <w:left w:val="nil"/>
              <w:bottom w:val="single" w:color="auto" w:sz="4" w:space="0"/>
              <w:right w:val="single" w:color="auto" w:sz="4" w:space="0"/>
            </w:tcBorders>
            <w:vAlign w:val="center"/>
          </w:tcPr>
          <w:p>
            <w:pPr>
              <w:pStyle w:val="15"/>
              <w:spacing w:line="360" w:lineRule="auto"/>
            </w:pPr>
            <w:bookmarkStart w:id="33" w:name="OLE_LINK1"/>
            <w:r>
              <w:rPr>
                <w:rFonts w:hint="eastAsia" w:ascii="宋体" w:hAnsi="宋体" w:cs="宋体" w:eastAsiaTheme="minorEastAsia"/>
                <w:color w:val="000000"/>
                <w:sz w:val="21"/>
                <w:szCs w:val="21"/>
              </w:rPr>
              <w:t>近三年（201</w:t>
            </w:r>
            <w:r>
              <w:rPr>
                <w:rFonts w:hint="eastAsia" w:ascii="宋体" w:hAnsi="宋体" w:cs="宋体" w:eastAsiaTheme="minorEastAsia"/>
                <w:color w:val="000000"/>
                <w:sz w:val="21"/>
                <w:szCs w:val="21"/>
                <w:lang w:val="en-US" w:eastAsia="zh-CN"/>
              </w:rPr>
              <w:t>8</w:t>
            </w:r>
            <w:r>
              <w:rPr>
                <w:rFonts w:hint="eastAsia" w:ascii="宋体" w:hAnsi="宋体" w:cs="宋体" w:eastAsiaTheme="minorEastAsia"/>
                <w:color w:val="000000"/>
                <w:sz w:val="21"/>
                <w:szCs w:val="21"/>
              </w:rPr>
              <w:t>年至20</w:t>
            </w:r>
            <w:r>
              <w:rPr>
                <w:rFonts w:hint="eastAsia" w:ascii="宋体" w:hAnsi="宋体" w:cs="宋体" w:eastAsiaTheme="minorEastAsia"/>
                <w:color w:val="000000"/>
                <w:sz w:val="21"/>
                <w:szCs w:val="21"/>
                <w:lang w:val="en-US" w:eastAsia="zh-CN"/>
              </w:rPr>
              <w:t>20</w:t>
            </w:r>
            <w:r>
              <w:rPr>
                <w:rFonts w:hint="eastAsia" w:ascii="宋体" w:hAnsi="宋体" w:cs="宋体" w:eastAsiaTheme="minorEastAsia"/>
                <w:color w:val="000000"/>
                <w:sz w:val="21"/>
                <w:szCs w:val="21"/>
              </w:rPr>
              <w:t>年）</w:t>
            </w:r>
            <w:bookmarkEnd w:id="33"/>
          </w:p>
        </w:tc>
      </w:tr>
      <w:tr>
        <w:tblPrEx>
          <w:tblCellMar>
            <w:top w:w="0" w:type="dxa"/>
            <w:left w:w="108" w:type="dxa"/>
            <w:bottom w:w="0" w:type="dxa"/>
            <w:right w:w="108" w:type="dxa"/>
          </w:tblCellMar>
        </w:tblPrEx>
        <w:trPr>
          <w:trHeight w:val="730"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eastAsia" w:eastAsiaTheme="minorEastAsia"/>
                <w:szCs w:val="21"/>
                <w:lang w:eastAsia="zh-CN"/>
              </w:rPr>
            </w:pPr>
            <w:r>
              <w:rPr>
                <w:rFonts w:hint="eastAsia"/>
                <w:szCs w:val="21"/>
              </w:rPr>
              <w:t>1</w:t>
            </w:r>
            <w:r>
              <w:rPr>
                <w:rFonts w:hint="eastAsia"/>
                <w:szCs w:val="21"/>
                <w:lang w:val="en-US" w:eastAsia="zh-CN"/>
              </w:rPr>
              <w:t>2</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近年类似物资供货业绩表（新产品除外）的年份要求</w:t>
            </w:r>
          </w:p>
        </w:tc>
        <w:tc>
          <w:tcPr>
            <w:tcW w:w="5400" w:type="dxa"/>
            <w:tcBorders>
              <w:top w:val="single" w:color="auto" w:sz="4" w:space="0"/>
              <w:left w:val="nil"/>
              <w:bottom w:val="single" w:color="auto" w:sz="4" w:space="0"/>
              <w:right w:val="single" w:color="auto" w:sz="4" w:space="0"/>
            </w:tcBorders>
            <w:vAlign w:val="center"/>
          </w:tcPr>
          <w:p>
            <w:pPr>
              <w:pStyle w:val="15"/>
              <w:spacing w:line="360" w:lineRule="auto"/>
            </w:pPr>
            <w:r>
              <w:rPr>
                <w:rFonts w:hint="eastAsia" w:ascii="宋体" w:hAnsi="宋体" w:cs="宋体" w:eastAsiaTheme="minorEastAsia"/>
                <w:color w:val="000000"/>
                <w:sz w:val="21"/>
                <w:szCs w:val="21"/>
              </w:rPr>
              <w:t>近三年（201</w:t>
            </w:r>
            <w:r>
              <w:rPr>
                <w:rFonts w:hint="eastAsia" w:ascii="宋体" w:hAnsi="宋体" w:cs="宋体" w:eastAsiaTheme="minorEastAsia"/>
                <w:color w:val="000000"/>
                <w:sz w:val="21"/>
                <w:szCs w:val="21"/>
                <w:lang w:val="en-US" w:eastAsia="zh-CN"/>
              </w:rPr>
              <w:t>8</w:t>
            </w:r>
            <w:r>
              <w:rPr>
                <w:rFonts w:hint="eastAsia" w:ascii="宋体" w:hAnsi="宋体" w:cs="宋体" w:eastAsiaTheme="minorEastAsia"/>
                <w:color w:val="000000"/>
                <w:sz w:val="21"/>
                <w:szCs w:val="21"/>
              </w:rPr>
              <w:t>年至20</w:t>
            </w:r>
            <w:r>
              <w:rPr>
                <w:rFonts w:hint="eastAsia" w:ascii="宋体" w:hAnsi="宋体" w:cs="宋体" w:eastAsiaTheme="minorEastAsia"/>
                <w:color w:val="000000"/>
                <w:sz w:val="21"/>
                <w:szCs w:val="21"/>
                <w:lang w:val="en-US" w:eastAsia="zh-CN"/>
              </w:rPr>
              <w:t>20</w:t>
            </w:r>
            <w:r>
              <w:rPr>
                <w:rFonts w:hint="eastAsia" w:ascii="宋体" w:hAnsi="宋体" w:cs="宋体" w:eastAsiaTheme="minorEastAsia"/>
                <w:color w:val="000000"/>
                <w:sz w:val="21"/>
                <w:szCs w:val="21"/>
              </w:rPr>
              <w:t>年）</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13</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其他资格内容要求</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pPr>
            <w:r>
              <w:rPr>
                <w:rFonts w:hint="eastAsia" w:ascii="宋体" w:hAnsi="宋体" w:cs="宋体"/>
                <w:color w:val="000000"/>
                <w:kern w:val="0"/>
                <w:szCs w:val="21"/>
              </w:rPr>
              <w:t>详见招标公告。</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14</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签字或盖章要求</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投标函、法定代表人授权委托书、投标报价表、物资描述表应由投标人的法定代表人或其委托代理人逐页签署姓名并逐页加盖投标人单位公章。</w:t>
            </w:r>
          </w:p>
        </w:tc>
      </w:tr>
      <w:tr>
        <w:tblPrEx>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15</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投标文件格式</w:t>
            </w:r>
          </w:p>
        </w:tc>
        <w:tc>
          <w:tcPr>
            <w:tcW w:w="5400" w:type="dxa"/>
            <w:tcBorders>
              <w:top w:val="single" w:color="auto" w:sz="4" w:space="0"/>
              <w:left w:val="nil"/>
              <w:bottom w:val="single" w:color="auto" w:sz="4" w:space="0"/>
              <w:right w:val="single" w:color="auto" w:sz="4" w:space="0"/>
            </w:tcBorders>
            <w:vAlign w:val="center"/>
          </w:tcPr>
          <w:p>
            <w:pPr>
              <w:pStyle w:val="15"/>
              <w:spacing w:line="360" w:lineRule="auto"/>
              <w:rPr>
                <w:szCs w:val="21"/>
              </w:rPr>
            </w:pPr>
            <w:r>
              <w:rPr>
                <w:rFonts w:hint="eastAsia" w:ascii="宋体" w:hAnsi="宋体" w:cs="宋体" w:eastAsiaTheme="minorEastAsia"/>
                <w:color w:val="000000"/>
                <w:sz w:val="21"/>
                <w:szCs w:val="21"/>
              </w:rPr>
              <w:t>电子版（PDF格式）</w:t>
            </w:r>
          </w:p>
        </w:tc>
      </w:tr>
      <w:tr>
        <w:tblPrEx>
          <w:tblCellMar>
            <w:top w:w="0" w:type="dxa"/>
            <w:left w:w="108" w:type="dxa"/>
            <w:bottom w:w="0" w:type="dxa"/>
            <w:right w:w="108" w:type="dxa"/>
          </w:tblCellMar>
        </w:tblPrEx>
        <w:trPr>
          <w:trHeight w:val="862"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16</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投标文件电子版</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是否要求递交投标文件电子版：</w:t>
            </w:r>
          </w:p>
          <w:p>
            <w:pPr>
              <w:widowControl/>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□不要求</w:t>
            </w:r>
          </w:p>
          <w:p>
            <w:pPr>
              <w:widowControl/>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☑要求，投标文件电子版内容：符合招标文件要求。</w:t>
            </w:r>
          </w:p>
          <w:p>
            <w:pPr>
              <w:widowControl/>
              <w:spacing w:line="360" w:lineRule="auto"/>
              <w:ind w:firstLine="420" w:firstLineChars="200"/>
              <w:rPr>
                <w:rFonts w:ascii="宋体" w:hAnsi="宋体" w:cs="宋体"/>
                <w:color w:val="000000"/>
                <w:kern w:val="0"/>
                <w:szCs w:val="21"/>
              </w:rPr>
            </w:pPr>
            <w:r>
              <w:rPr>
                <w:rFonts w:hint="eastAsia" w:ascii="宋体" w:hAnsi="宋体" w:cs="宋体"/>
                <w:color w:val="000000"/>
                <w:kern w:val="0"/>
                <w:szCs w:val="21"/>
              </w:rPr>
              <w:t>投标文件电子版份数：壹份。</w:t>
            </w:r>
          </w:p>
          <w:p>
            <w:pPr>
              <w:widowControl/>
              <w:spacing w:line="360" w:lineRule="auto"/>
              <w:ind w:firstLine="420" w:firstLineChars="200"/>
            </w:pPr>
            <w:r>
              <w:rPr>
                <w:rFonts w:hint="eastAsia" w:ascii="宋体" w:hAnsi="宋体" w:cs="宋体"/>
                <w:color w:val="000000"/>
                <w:kern w:val="0"/>
                <w:szCs w:val="21"/>
              </w:rPr>
              <w:t>投标文件电子版形式：符合招标文件要求及电子投标文件制作要求。</w:t>
            </w:r>
          </w:p>
        </w:tc>
      </w:tr>
      <w:tr>
        <w:tblPrEx>
          <w:tblCellMar>
            <w:top w:w="0" w:type="dxa"/>
            <w:left w:w="108" w:type="dxa"/>
            <w:bottom w:w="0" w:type="dxa"/>
            <w:right w:w="108" w:type="dxa"/>
          </w:tblCellMar>
        </w:tblPrEx>
        <w:trPr>
          <w:trHeight w:val="1135"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r>
              <w:rPr>
                <w:rFonts w:hint="eastAsia"/>
                <w:szCs w:val="21"/>
                <w:lang w:val="en-US" w:eastAsia="zh-CN"/>
              </w:rPr>
              <w:t>1</w:t>
            </w:r>
            <w:r>
              <w:rPr>
                <w:rFonts w:hint="eastAsia"/>
                <w:szCs w:val="21"/>
              </w:rPr>
              <w:t>7</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投标文件要求</w:t>
            </w:r>
          </w:p>
        </w:tc>
        <w:tc>
          <w:tcPr>
            <w:tcW w:w="54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pPr>
            <w:r>
              <w:rPr>
                <w:rFonts w:hint="eastAsia" w:ascii="宋体" w:hAnsi="宋体" w:cs="宋体"/>
                <w:color w:val="000000"/>
                <w:kern w:val="0"/>
                <w:szCs w:val="21"/>
              </w:rPr>
              <w:t>电子版投标文件应编制目录，电子版要连续扫描，不得采用活页单页方式扫描。</w:t>
            </w:r>
          </w:p>
        </w:tc>
      </w:tr>
      <w:tr>
        <w:tblPrEx>
          <w:tblCellMar>
            <w:top w:w="0" w:type="dxa"/>
            <w:left w:w="108" w:type="dxa"/>
            <w:bottom w:w="0" w:type="dxa"/>
            <w:right w:w="108" w:type="dxa"/>
          </w:tblCellMar>
        </w:tblPrEx>
        <w:trPr>
          <w:trHeight w:val="702"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18</w:t>
            </w:r>
          </w:p>
        </w:tc>
        <w:tc>
          <w:tcPr>
            <w:tcW w:w="2768"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投标文件上写明</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项目名称、招标编号和包件号全称。</w:t>
            </w:r>
          </w:p>
        </w:tc>
      </w:tr>
      <w:tr>
        <w:tblPrEx>
          <w:tblCellMar>
            <w:top w:w="0" w:type="dxa"/>
            <w:left w:w="108" w:type="dxa"/>
            <w:bottom w:w="0" w:type="dxa"/>
            <w:right w:w="108" w:type="dxa"/>
          </w:tblCellMar>
        </w:tblPrEx>
        <w:trPr>
          <w:trHeight w:val="335"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19</w:t>
            </w:r>
          </w:p>
        </w:tc>
        <w:tc>
          <w:tcPr>
            <w:tcW w:w="2768"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是否退还投标文件</w:t>
            </w:r>
          </w:p>
        </w:tc>
        <w:tc>
          <w:tcPr>
            <w:tcW w:w="5400"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不退还</w:t>
            </w:r>
          </w:p>
        </w:tc>
      </w:tr>
      <w:tr>
        <w:tblPrEx>
          <w:tblCellMar>
            <w:top w:w="0" w:type="dxa"/>
            <w:left w:w="108" w:type="dxa"/>
            <w:bottom w:w="0" w:type="dxa"/>
            <w:right w:w="108" w:type="dxa"/>
          </w:tblCellMar>
        </w:tblPrEx>
        <w:trPr>
          <w:trHeight w:val="485" w:hRule="atLeast"/>
        </w:trPr>
        <w:tc>
          <w:tcPr>
            <w:tcW w:w="1101" w:type="dxa"/>
            <w:tcBorders>
              <w:top w:val="single" w:color="auto" w:sz="4" w:space="0"/>
              <w:left w:val="single" w:color="auto" w:sz="4" w:space="0"/>
              <w:bottom w:val="single" w:color="auto" w:sz="4" w:space="0"/>
              <w:right w:val="single" w:color="auto" w:sz="4" w:space="0"/>
            </w:tcBorders>
            <w:vAlign w:val="center"/>
          </w:tcPr>
          <w:p>
            <w:pPr>
              <w:widowControl/>
              <w:spacing w:line="360" w:lineRule="auto"/>
              <w:ind w:firstLine="420" w:firstLineChars="200"/>
              <w:rPr>
                <w:rFonts w:hint="default" w:eastAsiaTheme="minorEastAsia"/>
                <w:szCs w:val="21"/>
                <w:lang w:val="en-US" w:eastAsia="zh-CN"/>
              </w:rPr>
            </w:pPr>
            <w:r>
              <w:rPr>
                <w:rFonts w:hint="eastAsia"/>
                <w:szCs w:val="21"/>
                <w:lang w:val="en-US" w:eastAsia="zh-CN"/>
              </w:rPr>
              <w:t>20</w:t>
            </w:r>
          </w:p>
        </w:tc>
        <w:tc>
          <w:tcPr>
            <w:tcW w:w="2768" w:type="dxa"/>
            <w:tcBorders>
              <w:top w:val="single" w:color="auto" w:sz="4" w:space="0"/>
              <w:left w:val="nil"/>
              <w:bottom w:val="single" w:color="auto" w:sz="4" w:space="0"/>
              <w:right w:val="single" w:color="auto" w:sz="4" w:space="0"/>
            </w:tcBorders>
            <w:vAlign w:val="center"/>
          </w:tcPr>
          <w:p>
            <w:pPr>
              <w:pStyle w:val="15"/>
              <w:spacing w:line="360" w:lineRule="auto"/>
              <w:rPr>
                <w:szCs w:val="21"/>
              </w:rPr>
            </w:pPr>
            <w:r>
              <w:rPr>
                <w:rFonts w:hint="eastAsia" w:ascii="宋体" w:hAnsi="宋体" w:cs="宋体" w:eastAsiaTheme="minorEastAsia"/>
                <w:color w:val="000000"/>
                <w:sz w:val="21"/>
                <w:szCs w:val="21"/>
              </w:rPr>
              <w:t>评标委员会的组建</w:t>
            </w:r>
          </w:p>
        </w:tc>
        <w:tc>
          <w:tcPr>
            <w:tcW w:w="5400" w:type="dxa"/>
            <w:tcBorders>
              <w:top w:val="single" w:color="auto" w:sz="4" w:space="0"/>
              <w:left w:val="nil"/>
              <w:bottom w:val="single" w:color="auto" w:sz="4" w:space="0"/>
              <w:right w:val="single" w:color="auto" w:sz="4" w:space="0"/>
            </w:tcBorders>
            <w:vAlign w:val="center"/>
          </w:tcPr>
          <w:p>
            <w:pPr>
              <w:widowControl/>
              <w:spacing w:line="360" w:lineRule="auto"/>
              <w:ind w:firstLine="420" w:firstLineChars="200"/>
              <w:rPr>
                <w:szCs w:val="21"/>
              </w:rPr>
            </w:pPr>
            <w:r>
              <w:rPr>
                <w:rFonts w:hint="eastAsia" w:ascii="宋体" w:hAnsi="宋体" w:cs="宋体"/>
                <w:color w:val="000000"/>
                <w:kern w:val="0"/>
                <w:szCs w:val="21"/>
              </w:rPr>
              <w:t>评标委员会构成：</w:t>
            </w:r>
            <w:r>
              <w:rPr>
                <w:rFonts w:hint="eastAsia" w:ascii="宋体" w:hAnsi="宋体" w:cs="宋体"/>
                <w:color w:val="000000"/>
                <w:kern w:val="0"/>
                <w:szCs w:val="21"/>
                <w:lang w:val="en-US" w:eastAsia="zh-CN"/>
              </w:rPr>
              <w:t>5</w:t>
            </w:r>
            <w:r>
              <w:rPr>
                <w:rFonts w:hint="eastAsia" w:ascii="宋体" w:hAnsi="宋体" w:cs="宋体"/>
                <w:color w:val="000000"/>
                <w:kern w:val="0"/>
                <w:szCs w:val="21"/>
              </w:rPr>
              <w:t>人以上单数人</w:t>
            </w:r>
          </w:p>
        </w:tc>
      </w:tr>
    </w:tbl>
    <w:p>
      <w:pPr>
        <w:spacing w:line="360" w:lineRule="auto"/>
        <w:ind w:firstLine="420" w:firstLineChars="200"/>
        <w:rPr>
          <w:szCs w:val="21"/>
        </w:rPr>
      </w:pPr>
      <w:bookmarkStart w:id="34" w:name="_Toc465183669"/>
      <w:bookmarkStart w:id="35" w:name="_Toc152045530"/>
      <w:bookmarkStart w:id="36" w:name="_Toc10898"/>
    </w:p>
    <w:p>
      <w:pPr>
        <w:pStyle w:val="15"/>
        <w:numPr>
          <w:ilvl w:val="0"/>
          <w:numId w:val="3"/>
        </w:numPr>
        <w:spacing w:line="360" w:lineRule="auto"/>
        <w:ind w:firstLine="422"/>
        <w:rPr>
          <w:rStyle w:val="32"/>
          <w:rFonts w:hint="eastAsia"/>
          <w:sz w:val="22"/>
          <w:szCs w:val="22"/>
          <w:lang w:val="en-US" w:eastAsia="zh-CN"/>
        </w:rPr>
      </w:pPr>
      <w:r>
        <w:br w:type="page"/>
      </w:r>
      <w:bookmarkStart w:id="37" w:name="_Toc15316"/>
      <w:r>
        <w:rPr>
          <w:rStyle w:val="32"/>
          <w:rFonts w:hint="eastAsia"/>
          <w:sz w:val="22"/>
          <w:szCs w:val="22"/>
          <w:lang w:val="en-US" w:eastAsia="zh-CN"/>
        </w:rPr>
        <w:t>招标须知：</w:t>
      </w:r>
    </w:p>
    <w:bookmarkEnd w:id="37"/>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rPr>
      </w:pPr>
      <w:r>
        <w:rPr>
          <w:rFonts w:hint="eastAsia" w:ascii="宋体" w:hAnsi="宋体" w:cs="宋体"/>
          <w:b/>
          <w:bCs/>
          <w:color w:val="000000"/>
          <w:sz w:val="22"/>
          <w:szCs w:val="22"/>
          <w:lang w:val="en-US" w:eastAsia="zh-CN"/>
        </w:rPr>
        <w:t>1.1</w:t>
      </w:r>
      <w:r>
        <w:rPr>
          <w:rFonts w:hint="eastAsia" w:ascii="宋体" w:hAnsi="宋体" w:cs="宋体"/>
          <w:b/>
          <w:bCs/>
          <w:color w:val="000000"/>
          <w:sz w:val="22"/>
          <w:szCs w:val="22"/>
        </w:rPr>
        <w:t>根据《中华人民共和国招标投标法》、《中华人民共和国招标投标法实施条例》、七部委第 27 号令《工程建设项目货物招标投标办法》等有关法律、法规和规章的规定，本项目招标物资已具备招标条件，现进行公开招标。</w:t>
      </w:r>
    </w:p>
    <w:p>
      <w:pPr>
        <w:pStyle w:val="15"/>
        <w:spacing w:line="360" w:lineRule="auto"/>
        <w:ind w:firstLine="630" w:firstLineChars="300"/>
        <w:rPr>
          <w:rFonts w:asciiTheme="minorHAnsi" w:hAnsiTheme="minorHAnsi" w:eastAsiaTheme="minorEastAsia"/>
          <w:kern w:val="2"/>
          <w:sz w:val="21"/>
          <w:szCs w:val="21"/>
        </w:rPr>
      </w:pPr>
      <w:r>
        <w:rPr>
          <w:rFonts w:asciiTheme="minorHAnsi" w:hAnsiTheme="minorHAnsi" w:eastAsiaTheme="minorEastAsia"/>
          <w:kern w:val="2"/>
          <w:sz w:val="21"/>
          <w:szCs w:val="21"/>
        </w:rPr>
        <w:t xml:space="preserve">1.1.2 </w:t>
      </w:r>
      <w:r>
        <w:rPr>
          <w:rFonts w:hint="eastAsia" w:ascii="宋体" w:hAnsi="宋体" w:cs="宋体"/>
          <w:color w:val="000000"/>
          <w:sz w:val="21"/>
          <w:szCs w:val="21"/>
        </w:rPr>
        <w:t>招标编号：见投标人须知前附表。</w:t>
      </w:r>
    </w:p>
    <w:p>
      <w:pPr>
        <w:pStyle w:val="15"/>
        <w:spacing w:line="360" w:lineRule="auto"/>
        <w:ind w:firstLine="630" w:firstLineChars="300"/>
        <w:rPr>
          <w:rFonts w:asciiTheme="minorHAnsi" w:hAnsiTheme="minorHAnsi" w:eastAsiaTheme="minorEastAsia"/>
          <w:kern w:val="2"/>
          <w:sz w:val="21"/>
          <w:szCs w:val="21"/>
        </w:rPr>
      </w:pPr>
      <w:r>
        <w:rPr>
          <w:rFonts w:asciiTheme="minorHAnsi" w:hAnsiTheme="minorHAnsi" w:eastAsiaTheme="minorEastAsia"/>
          <w:kern w:val="2"/>
          <w:sz w:val="21"/>
          <w:szCs w:val="21"/>
        </w:rPr>
        <w:t xml:space="preserve">1.1.3 </w:t>
      </w:r>
      <w:r>
        <w:rPr>
          <w:rFonts w:hint="eastAsia" w:ascii="宋体" w:hAnsi="宋体" w:cs="宋体"/>
          <w:color w:val="000000"/>
          <w:sz w:val="21"/>
          <w:szCs w:val="21"/>
        </w:rPr>
        <w:t>招标人：见投标人须知前附表。</w:t>
      </w:r>
    </w:p>
    <w:p>
      <w:pPr>
        <w:pStyle w:val="15"/>
        <w:spacing w:line="360" w:lineRule="auto"/>
        <w:ind w:firstLine="630" w:firstLineChars="300"/>
        <w:rPr>
          <w:szCs w:val="21"/>
        </w:rPr>
      </w:pPr>
      <w:r>
        <w:rPr>
          <w:rFonts w:asciiTheme="minorHAnsi" w:hAnsiTheme="minorHAnsi" w:eastAsiaTheme="minorEastAsia"/>
          <w:kern w:val="2"/>
          <w:sz w:val="21"/>
          <w:szCs w:val="21"/>
        </w:rPr>
        <w:t xml:space="preserve">1.1.4 </w:t>
      </w:r>
      <w:r>
        <w:rPr>
          <w:rFonts w:hint="eastAsia" w:ascii="宋体" w:hAnsi="宋体" w:cs="宋体"/>
          <w:color w:val="000000"/>
          <w:sz w:val="21"/>
          <w:szCs w:val="21"/>
        </w:rPr>
        <w:t>招标组织机构：见投标人须知前附表。</w:t>
      </w:r>
    </w:p>
    <w:p>
      <w:pPr>
        <w:pStyle w:val="15"/>
        <w:spacing w:line="360" w:lineRule="auto"/>
        <w:ind w:firstLine="630" w:firstLineChars="300"/>
        <w:rPr>
          <w:szCs w:val="21"/>
        </w:rPr>
      </w:pPr>
      <w:r>
        <w:rPr>
          <w:rFonts w:asciiTheme="minorHAnsi" w:hAnsiTheme="minorHAnsi" w:eastAsiaTheme="minorEastAsia"/>
          <w:kern w:val="2"/>
          <w:sz w:val="21"/>
          <w:szCs w:val="21"/>
        </w:rPr>
        <w:t xml:space="preserve">1.1.5 </w:t>
      </w:r>
      <w:r>
        <w:rPr>
          <w:rFonts w:hint="eastAsia" w:ascii="宋体" w:hAnsi="宋体" w:cs="宋体"/>
          <w:color w:val="000000"/>
          <w:sz w:val="21"/>
          <w:szCs w:val="21"/>
        </w:rPr>
        <w:t>项目名称：见投标人须知前附表。</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1.2招标内容、技术要求、计划交货期和交货地点</w:t>
      </w:r>
    </w:p>
    <w:p>
      <w:pPr>
        <w:pStyle w:val="15"/>
        <w:spacing w:line="360" w:lineRule="auto"/>
        <w:ind w:firstLine="630" w:firstLineChars="300"/>
        <w:rPr>
          <w:rFonts w:asciiTheme="minorHAnsi" w:hAnsiTheme="minorHAnsi" w:eastAsiaTheme="minorEastAsia"/>
          <w:kern w:val="2"/>
          <w:sz w:val="21"/>
          <w:szCs w:val="21"/>
        </w:rPr>
      </w:pPr>
      <w:r>
        <w:rPr>
          <w:rFonts w:asciiTheme="minorHAnsi" w:hAnsiTheme="minorHAnsi" w:eastAsiaTheme="minorEastAsia"/>
          <w:kern w:val="2"/>
          <w:sz w:val="21"/>
          <w:szCs w:val="21"/>
        </w:rPr>
        <w:t>1.</w:t>
      </w:r>
      <w:r>
        <w:rPr>
          <w:rFonts w:hint="eastAsia" w:asciiTheme="minorHAnsi" w:hAnsiTheme="minorHAnsi" w:eastAsiaTheme="minorEastAsia"/>
          <w:kern w:val="2"/>
          <w:sz w:val="21"/>
          <w:szCs w:val="21"/>
          <w:lang w:val="en-US" w:eastAsia="zh-CN"/>
        </w:rPr>
        <w:t>2</w:t>
      </w:r>
      <w:r>
        <w:rPr>
          <w:rFonts w:asciiTheme="minorHAnsi" w:hAnsiTheme="minorHAnsi" w:eastAsiaTheme="minorEastAsia"/>
          <w:kern w:val="2"/>
          <w:sz w:val="21"/>
          <w:szCs w:val="21"/>
        </w:rPr>
        <w:t xml:space="preserve">.1 </w:t>
      </w:r>
      <w:r>
        <w:rPr>
          <w:rFonts w:hint="eastAsia" w:ascii="宋体" w:hAnsi="宋体" w:cs="宋体"/>
          <w:color w:val="000000"/>
          <w:sz w:val="21"/>
          <w:szCs w:val="21"/>
        </w:rPr>
        <w:t>招标内容：见投标人须知前附表。</w:t>
      </w:r>
    </w:p>
    <w:p>
      <w:pPr>
        <w:pStyle w:val="15"/>
        <w:spacing w:line="360" w:lineRule="auto"/>
        <w:ind w:firstLine="630" w:firstLineChars="300"/>
        <w:rPr>
          <w:rFonts w:hint="eastAsia" w:ascii="宋体" w:hAnsi="宋体" w:cs="宋体"/>
          <w:color w:val="000000"/>
          <w:sz w:val="21"/>
          <w:szCs w:val="21"/>
        </w:rPr>
      </w:pPr>
      <w:r>
        <w:rPr>
          <w:rFonts w:hint="eastAsia" w:asciiTheme="minorHAnsi" w:hAnsiTheme="minorHAnsi" w:eastAsiaTheme="minorEastAsia"/>
          <w:kern w:val="2"/>
          <w:sz w:val="21"/>
          <w:szCs w:val="21"/>
        </w:rPr>
        <w:t>1.</w:t>
      </w:r>
      <w:r>
        <w:rPr>
          <w:rFonts w:hint="eastAsia" w:asciiTheme="minorHAnsi" w:hAnsiTheme="minorHAnsi" w:eastAsiaTheme="minorEastAsia"/>
          <w:kern w:val="2"/>
          <w:sz w:val="21"/>
          <w:szCs w:val="21"/>
          <w:lang w:val="en-US" w:eastAsia="zh-CN"/>
        </w:rPr>
        <w:t>2</w:t>
      </w:r>
      <w:r>
        <w:rPr>
          <w:rFonts w:hint="eastAsia" w:asciiTheme="minorHAnsi" w:hAnsiTheme="minorHAnsi" w:eastAsiaTheme="minorEastAsia"/>
          <w:kern w:val="2"/>
          <w:sz w:val="21"/>
          <w:szCs w:val="21"/>
        </w:rPr>
        <w:t xml:space="preserve">.2 </w:t>
      </w:r>
      <w:r>
        <w:rPr>
          <w:rFonts w:hint="eastAsia" w:ascii="宋体" w:hAnsi="宋体" w:cs="宋体"/>
          <w:color w:val="000000"/>
          <w:sz w:val="21"/>
          <w:szCs w:val="21"/>
        </w:rPr>
        <w:t>本次招标计划交货期和交货地点：见物资需求一览表。</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1.3投标人资格要求</w:t>
      </w:r>
    </w:p>
    <w:p>
      <w:pPr>
        <w:pStyle w:val="15"/>
        <w:spacing w:line="360" w:lineRule="auto"/>
        <w:ind w:firstLine="630" w:firstLineChars="300"/>
        <w:rPr>
          <w:rFonts w:asciiTheme="minorHAnsi" w:hAnsiTheme="minorHAnsi" w:eastAsiaTheme="minorEastAsia"/>
          <w:kern w:val="2"/>
          <w:sz w:val="21"/>
          <w:szCs w:val="21"/>
        </w:rPr>
      </w:pPr>
      <w:r>
        <w:rPr>
          <w:rFonts w:asciiTheme="minorHAnsi" w:hAnsiTheme="minorHAnsi" w:eastAsiaTheme="minorEastAsia"/>
          <w:kern w:val="2"/>
          <w:sz w:val="21"/>
          <w:szCs w:val="21"/>
        </w:rPr>
        <w:t>1.</w:t>
      </w:r>
      <w:r>
        <w:rPr>
          <w:rFonts w:hint="eastAsia" w:asciiTheme="minorHAnsi" w:hAnsiTheme="minorHAnsi" w:eastAsiaTheme="minorEastAsia"/>
          <w:kern w:val="2"/>
          <w:sz w:val="21"/>
          <w:szCs w:val="21"/>
          <w:lang w:val="en-US" w:eastAsia="zh-CN"/>
        </w:rPr>
        <w:t>3</w:t>
      </w:r>
      <w:r>
        <w:rPr>
          <w:rFonts w:asciiTheme="minorHAnsi" w:hAnsiTheme="minorHAnsi" w:eastAsiaTheme="minorEastAsia"/>
          <w:kern w:val="2"/>
          <w:sz w:val="21"/>
          <w:szCs w:val="21"/>
        </w:rPr>
        <w:t>.1</w:t>
      </w:r>
      <w:r>
        <w:rPr>
          <w:rFonts w:hint="eastAsia" w:ascii="宋体" w:hAnsi="宋体" w:cs="宋体"/>
          <w:color w:val="000000"/>
          <w:sz w:val="21"/>
          <w:szCs w:val="21"/>
        </w:rPr>
        <w:t>投标人应具备承担本次招标物资生产供应能力。</w:t>
      </w:r>
    </w:p>
    <w:p>
      <w:pPr>
        <w:pStyle w:val="15"/>
        <w:spacing w:line="360" w:lineRule="auto"/>
        <w:ind w:firstLine="840" w:firstLineChars="400"/>
        <w:rPr>
          <w:rFonts w:asciiTheme="minorHAnsi" w:hAnsiTheme="minorHAnsi" w:eastAsiaTheme="minorEastAsia"/>
          <w:kern w:val="2"/>
          <w:sz w:val="21"/>
          <w:szCs w:val="21"/>
        </w:rPr>
      </w:pPr>
      <w:r>
        <w:rPr>
          <w:rFonts w:hint="eastAsia" w:asciiTheme="minorHAnsi" w:hAnsiTheme="minorHAnsi" w:eastAsiaTheme="minorEastAsia"/>
          <w:kern w:val="2"/>
          <w:sz w:val="21"/>
          <w:szCs w:val="21"/>
        </w:rPr>
        <w:t>（1）营业范围要求：见投标人须知前附表；</w:t>
      </w:r>
    </w:p>
    <w:p>
      <w:pPr>
        <w:spacing w:line="360" w:lineRule="auto"/>
        <w:ind w:firstLine="840" w:firstLineChars="400"/>
        <w:rPr>
          <w:szCs w:val="21"/>
        </w:rPr>
      </w:pPr>
      <w:r>
        <w:rPr>
          <w:rFonts w:hint="eastAsia" w:ascii="宋体" w:hAnsi="宋体" w:eastAsia="宋体" w:cs="宋体"/>
          <w:color w:val="000000"/>
          <w:kern w:val="0"/>
          <w:szCs w:val="21"/>
        </w:rPr>
        <w:t>（2）生产能力要求：见投标人须知前附表；</w:t>
      </w:r>
    </w:p>
    <w:p>
      <w:pPr>
        <w:spacing w:line="360" w:lineRule="auto"/>
        <w:ind w:firstLine="840" w:firstLineChars="400"/>
        <w:rPr>
          <w:szCs w:val="21"/>
        </w:rPr>
      </w:pPr>
      <w:r>
        <w:rPr>
          <w:rFonts w:hint="eastAsia" w:ascii="宋体" w:hAnsi="宋体" w:eastAsia="宋体" w:cs="宋体"/>
          <w:color w:val="000000"/>
          <w:kern w:val="0"/>
          <w:szCs w:val="21"/>
        </w:rPr>
        <w:t>（3）质量保证能力要求：见投标人须知前附表；</w:t>
      </w:r>
    </w:p>
    <w:p>
      <w:pPr>
        <w:spacing w:line="360" w:lineRule="auto"/>
        <w:ind w:firstLine="840" w:firstLineChars="400"/>
        <w:rPr>
          <w:szCs w:val="21"/>
        </w:rPr>
      </w:pPr>
      <w:r>
        <w:rPr>
          <w:rFonts w:hint="eastAsia" w:ascii="宋体" w:hAnsi="宋体" w:eastAsia="宋体" w:cs="宋体"/>
          <w:color w:val="000000"/>
          <w:kern w:val="0"/>
          <w:szCs w:val="21"/>
        </w:rPr>
        <w:t>（4）供货业绩要求：见投标人须知前附表；</w:t>
      </w:r>
    </w:p>
    <w:p>
      <w:pPr>
        <w:spacing w:line="360" w:lineRule="auto"/>
        <w:ind w:firstLine="840" w:firstLineChars="400"/>
        <w:rPr>
          <w:szCs w:val="21"/>
        </w:rPr>
      </w:pPr>
      <w:r>
        <w:rPr>
          <w:rFonts w:hint="eastAsia" w:ascii="宋体" w:hAnsi="宋体" w:eastAsia="宋体" w:cs="宋体"/>
          <w:color w:val="000000"/>
          <w:kern w:val="0"/>
          <w:szCs w:val="21"/>
        </w:rPr>
        <w:t>（5）履约信用要求：见投标人须知前附表；</w:t>
      </w:r>
    </w:p>
    <w:p>
      <w:pPr>
        <w:spacing w:line="360" w:lineRule="auto"/>
        <w:ind w:firstLine="840" w:firstLineChars="400"/>
        <w:rPr>
          <w:szCs w:val="21"/>
        </w:rPr>
      </w:pPr>
      <w:r>
        <w:rPr>
          <w:rFonts w:hint="eastAsia" w:ascii="宋体" w:hAnsi="宋体" w:eastAsia="宋体" w:cs="宋体"/>
          <w:color w:val="000000"/>
          <w:kern w:val="0"/>
          <w:szCs w:val="21"/>
        </w:rPr>
        <w:t>（6）其他要求：见投标人须知前附表。</w:t>
      </w:r>
    </w:p>
    <w:p>
      <w:pPr>
        <w:pStyle w:val="15"/>
        <w:spacing w:line="360" w:lineRule="auto"/>
        <w:ind w:firstLine="630" w:firstLineChars="300"/>
        <w:rPr>
          <w:rFonts w:asciiTheme="minorHAnsi" w:hAnsiTheme="minorHAnsi" w:eastAsiaTheme="minorEastAsia"/>
          <w:kern w:val="2"/>
          <w:sz w:val="21"/>
          <w:szCs w:val="21"/>
        </w:rPr>
      </w:pPr>
      <w:r>
        <w:rPr>
          <w:rFonts w:asciiTheme="minorHAnsi" w:hAnsiTheme="minorHAnsi" w:eastAsiaTheme="minorEastAsia"/>
          <w:kern w:val="2"/>
          <w:sz w:val="21"/>
          <w:szCs w:val="21"/>
        </w:rPr>
        <w:t>1.</w:t>
      </w:r>
      <w:r>
        <w:rPr>
          <w:rFonts w:hint="eastAsia" w:asciiTheme="minorHAnsi" w:hAnsiTheme="minorHAnsi" w:eastAsiaTheme="minorEastAsia"/>
          <w:kern w:val="2"/>
          <w:sz w:val="21"/>
          <w:szCs w:val="21"/>
          <w:lang w:val="en-US" w:eastAsia="zh-CN"/>
        </w:rPr>
        <w:t>3</w:t>
      </w:r>
      <w:r>
        <w:rPr>
          <w:rFonts w:asciiTheme="minorHAnsi" w:hAnsiTheme="minorHAnsi" w:eastAsiaTheme="minorEastAsia"/>
          <w:kern w:val="2"/>
          <w:sz w:val="21"/>
          <w:szCs w:val="21"/>
        </w:rPr>
        <w:t xml:space="preserve">.2 </w:t>
      </w:r>
      <w:r>
        <w:rPr>
          <w:rFonts w:hint="eastAsia" w:ascii="宋体" w:hAnsi="宋体" w:cs="宋体"/>
          <w:color w:val="000000"/>
          <w:sz w:val="21"/>
          <w:szCs w:val="21"/>
        </w:rPr>
        <w:t>不接受联合体投标。</w:t>
      </w:r>
    </w:p>
    <w:p>
      <w:pPr>
        <w:pStyle w:val="15"/>
        <w:spacing w:line="360" w:lineRule="auto"/>
        <w:ind w:firstLine="630" w:firstLineChars="300"/>
        <w:rPr>
          <w:rFonts w:asciiTheme="minorHAnsi" w:hAnsiTheme="minorHAnsi" w:eastAsiaTheme="minorEastAsia"/>
          <w:kern w:val="2"/>
          <w:sz w:val="21"/>
          <w:szCs w:val="21"/>
        </w:rPr>
      </w:pPr>
      <w:r>
        <w:rPr>
          <w:rFonts w:asciiTheme="minorHAnsi" w:hAnsiTheme="minorHAnsi" w:eastAsiaTheme="minorEastAsia"/>
          <w:kern w:val="2"/>
          <w:sz w:val="21"/>
          <w:szCs w:val="21"/>
        </w:rPr>
        <w:t>1.</w:t>
      </w:r>
      <w:r>
        <w:rPr>
          <w:rFonts w:hint="eastAsia" w:asciiTheme="minorHAnsi" w:hAnsiTheme="minorHAnsi" w:eastAsiaTheme="minorEastAsia"/>
          <w:kern w:val="2"/>
          <w:sz w:val="21"/>
          <w:szCs w:val="21"/>
          <w:lang w:val="en-US" w:eastAsia="zh-CN"/>
        </w:rPr>
        <w:t>3</w:t>
      </w:r>
      <w:r>
        <w:rPr>
          <w:rFonts w:asciiTheme="minorHAnsi" w:hAnsiTheme="minorHAnsi" w:eastAsiaTheme="minorEastAsia"/>
          <w:kern w:val="2"/>
          <w:sz w:val="21"/>
          <w:szCs w:val="21"/>
        </w:rPr>
        <w:t xml:space="preserve">.3 </w:t>
      </w:r>
      <w:r>
        <w:rPr>
          <w:rFonts w:hint="eastAsia" w:ascii="宋体" w:hAnsi="宋体" w:cs="宋体"/>
          <w:color w:val="000000"/>
          <w:sz w:val="21"/>
          <w:szCs w:val="21"/>
        </w:rPr>
        <w:t>投标人不得存在下列情形之一：</w:t>
      </w:r>
    </w:p>
    <w:p>
      <w:pPr>
        <w:spacing w:line="360" w:lineRule="auto"/>
        <w:ind w:firstLine="840" w:firstLineChars="400"/>
        <w:rPr>
          <w:szCs w:val="21"/>
        </w:rPr>
      </w:pPr>
      <w:r>
        <w:rPr>
          <w:rFonts w:hint="eastAsia" w:ascii="宋体" w:hAnsi="宋体" w:eastAsia="宋体" w:cs="宋体"/>
          <w:color w:val="000000"/>
          <w:kern w:val="0"/>
          <w:szCs w:val="21"/>
        </w:rPr>
        <w:t>（1）为招标人不具有独立法人资格的附属机构（单位）；</w:t>
      </w:r>
    </w:p>
    <w:p>
      <w:pPr>
        <w:pStyle w:val="15"/>
        <w:spacing w:line="360" w:lineRule="auto"/>
        <w:ind w:firstLine="840" w:firstLineChars="400"/>
        <w:rPr>
          <w:rFonts w:asciiTheme="minorHAnsi" w:hAnsiTheme="minorHAnsi" w:eastAsiaTheme="minorEastAsia"/>
          <w:kern w:val="2"/>
          <w:sz w:val="21"/>
          <w:szCs w:val="21"/>
        </w:rPr>
      </w:pPr>
      <w:r>
        <w:rPr>
          <w:rFonts w:hint="eastAsia" w:ascii="宋体" w:hAnsi="宋体" w:cs="宋体"/>
          <w:color w:val="000000"/>
          <w:sz w:val="21"/>
          <w:szCs w:val="21"/>
        </w:rPr>
        <w:t>（2）被责令停业的；</w:t>
      </w:r>
    </w:p>
    <w:p>
      <w:pPr>
        <w:pStyle w:val="15"/>
        <w:spacing w:line="360" w:lineRule="auto"/>
        <w:ind w:firstLine="840" w:firstLineChars="400"/>
        <w:rPr>
          <w:rFonts w:asciiTheme="minorHAnsi" w:hAnsiTheme="minorHAnsi" w:eastAsiaTheme="minorEastAsia"/>
          <w:kern w:val="2"/>
          <w:sz w:val="21"/>
          <w:szCs w:val="21"/>
        </w:rPr>
      </w:pPr>
      <w:r>
        <w:rPr>
          <w:rFonts w:hint="eastAsia" w:ascii="宋体" w:hAnsi="宋体" w:cs="宋体"/>
          <w:color w:val="000000"/>
          <w:sz w:val="21"/>
          <w:szCs w:val="21"/>
        </w:rPr>
        <w:t>（3）被暂停或取消投标资格的；</w:t>
      </w:r>
    </w:p>
    <w:p>
      <w:pPr>
        <w:spacing w:line="360" w:lineRule="auto"/>
        <w:ind w:firstLine="840" w:firstLineChars="400"/>
        <w:rPr>
          <w:szCs w:val="21"/>
        </w:rPr>
      </w:pPr>
      <w:r>
        <w:rPr>
          <w:rFonts w:hint="eastAsia" w:ascii="宋体" w:hAnsi="宋体" w:eastAsia="宋体" w:cs="宋体"/>
          <w:color w:val="000000"/>
          <w:kern w:val="0"/>
          <w:szCs w:val="21"/>
        </w:rPr>
        <w:t>（4）财产被接管、冻结，或企业处于停产、停业、歇业或破产状态的；</w:t>
      </w:r>
    </w:p>
    <w:p>
      <w:pPr>
        <w:spacing w:line="360" w:lineRule="auto"/>
        <w:ind w:firstLine="840" w:firstLineChars="400"/>
        <w:rPr>
          <w:szCs w:val="21"/>
        </w:rPr>
      </w:pPr>
      <w:r>
        <w:rPr>
          <w:rFonts w:hint="eastAsia" w:ascii="宋体" w:hAnsi="宋体" w:eastAsia="宋体" w:cs="宋体"/>
          <w:color w:val="000000"/>
          <w:kern w:val="0"/>
          <w:szCs w:val="21"/>
        </w:rPr>
        <w:t>（5）在最近三年内有骗取中标或严重违约或重大质量问题的；</w:t>
      </w:r>
    </w:p>
    <w:p>
      <w:pPr>
        <w:spacing w:line="360" w:lineRule="auto"/>
        <w:ind w:firstLine="840" w:firstLineChars="400"/>
        <w:rPr>
          <w:szCs w:val="21"/>
        </w:rPr>
      </w:pPr>
      <w:r>
        <w:rPr>
          <w:rFonts w:hint="eastAsia" w:ascii="宋体" w:hAnsi="宋体" w:eastAsia="宋体" w:cs="宋体"/>
          <w:color w:val="000000"/>
          <w:kern w:val="0"/>
          <w:szCs w:val="21"/>
        </w:rPr>
        <w:t>（6）经评标委员会认定会对承担本项目造成重大影响的正在诉讼的案件；</w:t>
      </w:r>
    </w:p>
    <w:p>
      <w:pPr>
        <w:pStyle w:val="15"/>
        <w:spacing w:line="360" w:lineRule="auto"/>
        <w:ind w:firstLine="840" w:firstLineChars="400"/>
        <w:rPr>
          <w:rFonts w:asciiTheme="minorHAnsi" w:hAnsiTheme="minorHAnsi" w:eastAsiaTheme="minorEastAsia"/>
          <w:kern w:val="2"/>
          <w:sz w:val="21"/>
          <w:szCs w:val="21"/>
        </w:rPr>
      </w:pPr>
      <w:r>
        <w:rPr>
          <w:rFonts w:hint="eastAsia" w:ascii="宋体" w:hAnsi="宋体" w:cs="宋体"/>
          <w:color w:val="000000"/>
          <w:sz w:val="21"/>
          <w:szCs w:val="21"/>
        </w:rPr>
        <w:t>（7）与招标人存在利害关系并可能影响招标公正性的。</w:t>
      </w:r>
    </w:p>
    <w:bookmarkEnd w:id="34"/>
    <w:bookmarkEnd w:id="35"/>
    <w:bookmarkEnd w:id="36"/>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1.4保密</w:t>
      </w:r>
    </w:p>
    <w:p>
      <w:pPr>
        <w:pStyle w:val="15"/>
        <w:spacing w:line="360" w:lineRule="auto"/>
        <w:rPr>
          <w:rFonts w:hint="eastAsia" w:ascii="宋体" w:hAnsi="宋体" w:cs="宋体"/>
          <w:color w:val="000000"/>
          <w:sz w:val="21"/>
          <w:szCs w:val="21"/>
        </w:rPr>
      </w:pPr>
      <w:r>
        <w:rPr>
          <w:rFonts w:hint="eastAsia" w:ascii="宋体" w:hAnsi="宋体" w:cs="宋体"/>
          <w:color w:val="000000"/>
          <w:sz w:val="21"/>
          <w:szCs w:val="21"/>
        </w:rPr>
        <w:t>参与招标投标活动的各方应对招标文件和投标文件中的商业和技术等秘密保密，违者应对由此造成的后果承担法律责任。</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1.5语言文字</w:t>
      </w:r>
    </w:p>
    <w:p>
      <w:pPr>
        <w:pStyle w:val="15"/>
        <w:spacing w:line="360" w:lineRule="auto"/>
      </w:pPr>
      <w:r>
        <w:rPr>
          <w:rFonts w:hint="eastAsia" w:ascii="宋体" w:hAnsi="宋体" w:cs="宋体"/>
          <w:color w:val="000000"/>
          <w:sz w:val="21"/>
          <w:szCs w:val="21"/>
        </w:rPr>
        <w:t>除专用术语外，与招标投标有关的语言均使用中文。必要时专用术语应附有中文注释。</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1.6计量单位</w:t>
      </w:r>
    </w:p>
    <w:p>
      <w:pPr>
        <w:pStyle w:val="15"/>
        <w:spacing w:line="360" w:lineRule="auto"/>
      </w:pPr>
      <w:r>
        <w:rPr>
          <w:rFonts w:hint="eastAsia" w:ascii="宋体" w:hAnsi="宋体" w:cs="宋体"/>
          <w:color w:val="000000"/>
          <w:sz w:val="21"/>
          <w:szCs w:val="21"/>
        </w:rPr>
        <w:t>所有计量均采用中华人民共和国法定计量单位。</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1.7分包、转包</w:t>
      </w:r>
    </w:p>
    <w:p>
      <w:pPr>
        <w:spacing w:line="360" w:lineRule="auto"/>
        <w:ind w:firstLine="630" w:firstLineChars="300"/>
      </w:pPr>
      <w:r>
        <w:rPr>
          <w:szCs w:val="21"/>
        </w:rPr>
        <w:t>1.</w:t>
      </w:r>
      <w:r>
        <w:rPr>
          <w:rFonts w:hint="eastAsia"/>
          <w:szCs w:val="21"/>
          <w:lang w:val="en-US" w:eastAsia="zh-CN"/>
        </w:rPr>
        <w:t>7</w:t>
      </w:r>
      <w:r>
        <w:rPr>
          <w:szCs w:val="21"/>
        </w:rPr>
        <w:t xml:space="preserve">.1 </w:t>
      </w:r>
      <w:r>
        <w:rPr>
          <w:rFonts w:hint="eastAsia" w:ascii="宋体" w:hAnsi="宋体" w:eastAsia="宋体" w:cs="宋体"/>
          <w:color w:val="000000"/>
          <w:kern w:val="0"/>
          <w:szCs w:val="21"/>
        </w:rPr>
        <w:t>本招标物资不允许分包、转包。</w:t>
      </w:r>
    </w:p>
    <w:p>
      <w:pPr>
        <w:spacing w:line="360" w:lineRule="auto"/>
        <w:ind w:firstLine="630" w:firstLineChars="300"/>
      </w:pPr>
      <w:r>
        <w:rPr>
          <w:szCs w:val="21"/>
        </w:rPr>
        <w:t>1.</w:t>
      </w:r>
      <w:r>
        <w:rPr>
          <w:rFonts w:hint="eastAsia"/>
          <w:szCs w:val="21"/>
          <w:lang w:val="en-US" w:eastAsia="zh-CN"/>
        </w:rPr>
        <w:t>7</w:t>
      </w:r>
      <w:r>
        <w:rPr>
          <w:szCs w:val="21"/>
        </w:rPr>
        <w:t xml:space="preserve">.2 </w:t>
      </w:r>
      <w:r>
        <w:rPr>
          <w:rFonts w:hint="eastAsia" w:ascii="宋体" w:hAnsi="宋体" w:cs="宋体"/>
          <w:color w:val="000000"/>
          <w:sz w:val="21"/>
          <w:szCs w:val="21"/>
        </w:rPr>
        <w:t>供货方若出现不按项目要求的时间、规格、数量供货及质量不合格问题发生时</w:t>
      </w:r>
      <w:r>
        <w:rPr>
          <w:rFonts w:hint="eastAsia" w:ascii="宋体" w:hAnsi="宋体" w:cs="宋体"/>
          <w:color w:val="000000"/>
          <w:sz w:val="21"/>
          <w:szCs w:val="21"/>
          <w:lang w:val="en-US" w:eastAsia="zh-CN"/>
        </w:rPr>
        <w:t>招标方</w:t>
      </w:r>
      <w:r>
        <w:rPr>
          <w:rFonts w:hint="eastAsia" w:ascii="宋体" w:hAnsi="宋体" w:cs="宋体"/>
          <w:color w:val="000000"/>
          <w:sz w:val="21"/>
          <w:szCs w:val="21"/>
        </w:rPr>
        <w:t>有权解除合同，招标方有重新招标的权利，以此造成的任何损失由供货方承担。</w:t>
      </w:r>
    </w:p>
    <w:p>
      <w:pPr>
        <w:spacing w:line="360" w:lineRule="auto"/>
        <w:ind w:firstLine="630" w:firstLineChars="300"/>
      </w:pPr>
      <w:r>
        <w:rPr>
          <w:szCs w:val="21"/>
        </w:rPr>
        <w:t>1.</w:t>
      </w:r>
      <w:r>
        <w:rPr>
          <w:rFonts w:hint="eastAsia"/>
          <w:szCs w:val="21"/>
          <w:lang w:val="en-US" w:eastAsia="zh-CN"/>
        </w:rPr>
        <w:t>7</w:t>
      </w:r>
      <w:r>
        <w:rPr>
          <w:szCs w:val="21"/>
        </w:rPr>
        <w:t xml:space="preserve">.3 </w:t>
      </w:r>
      <w:r>
        <w:rPr>
          <w:rFonts w:hint="eastAsia" w:ascii="宋体" w:hAnsi="宋体" w:cs="宋体"/>
          <w:color w:val="000000"/>
          <w:sz w:val="21"/>
          <w:szCs w:val="21"/>
        </w:rPr>
        <w:t>本次招标物资为</w:t>
      </w:r>
      <w:r>
        <w:rPr>
          <w:rFonts w:hint="eastAsia" w:hAnsi="宋体"/>
          <w:lang w:val="en-US" w:eastAsia="zh-CN"/>
        </w:rPr>
        <w:t>菲律宾卡琳娜住房项目铝模采购</w:t>
      </w:r>
      <w:r>
        <w:rPr>
          <w:rFonts w:hint="eastAsia" w:ascii="宋体" w:hAnsi="宋体" w:cs="宋体"/>
          <w:color w:val="000000"/>
          <w:sz w:val="21"/>
          <w:szCs w:val="21"/>
        </w:rPr>
        <w:t>项目所需的，对合作信用良好的供应商在本项目以后的工程使用的物资招标中或竞争性谈判中有优先中标的权利。</w:t>
      </w:r>
    </w:p>
    <w:p>
      <w:pPr>
        <w:spacing w:line="360" w:lineRule="auto"/>
        <w:ind w:firstLine="630" w:firstLineChars="300"/>
      </w:pPr>
      <w:r>
        <w:rPr>
          <w:szCs w:val="21"/>
        </w:rPr>
        <w:t>1.</w:t>
      </w:r>
      <w:r>
        <w:rPr>
          <w:rFonts w:hint="eastAsia"/>
          <w:szCs w:val="21"/>
          <w:lang w:val="en-US" w:eastAsia="zh-CN"/>
        </w:rPr>
        <w:t>7</w:t>
      </w:r>
      <w:r>
        <w:rPr>
          <w:szCs w:val="21"/>
        </w:rPr>
        <w:t xml:space="preserve">.4 </w:t>
      </w:r>
      <w:r>
        <w:rPr>
          <w:rFonts w:hint="eastAsia" w:ascii="宋体" w:hAnsi="宋体" w:cs="宋体"/>
          <w:color w:val="000000"/>
          <w:sz w:val="21"/>
          <w:szCs w:val="21"/>
        </w:rPr>
        <w:t>招标方有在开标后再次确定入围供应商和生产厂家的权利。</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1.8有以下行为的，投标文件无效，作废标处理：</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（1）投标单位不遵循招标文件和有关规定，串通作弊，哄抬标价的；</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（2）对招标单位及工作人员进行影响评标结果公正性等不正当竞争行为的；</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（3）投标书不符合招标文件要求或不按评标委员会要求澄清、说明或补正的；</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（4）投标书未逐页加盖法人公章及法定代表人或授权代理人未签字的；</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（5）投标书提交时间迟于规定的投标截止时间的；</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（6）投标价格明显高于或低于成本价；</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（7）出现招标人不能接受的条款和要求的及投标文件中出现重大偏移的。</w:t>
      </w:r>
      <w:bookmarkStart w:id="38" w:name="_Toc238797564"/>
      <w:bookmarkEnd w:id="38"/>
      <w:bookmarkStart w:id="39" w:name="_Toc144974503"/>
      <w:bookmarkEnd w:id="39"/>
      <w:bookmarkStart w:id="40" w:name="_Toc433987432"/>
      <w:bookmarkEnd w:id="40"/>
      <w:bookmarkStart w:id="41" w:name="_Toc238552209"/>
      <w:bookmarkEnd w:id="41"/>
      <w:bookmarkStart w:id="42" w:name="_Toc144974510"/>
      <w:bookmarkEnd w:id="42"/>
      <w:bookmarkStart w:id="43" w:name="_Toc433987434"/>
      <w:bookmarkEnd w:id="43"/>
      <w:bookmarkStart w:id="44" w:name="_Toc238552207"/>
      <w:bookmarkEnd w:id="44"/>
      <w:bookmarkStart w:id="45" w:name="_Toc238552201"/>
      <w:bookmarkEnd w:id="45"/>
      <w:bookmarkStart w:id="46" w:name="_Toc144974504"/>
      <w:bookmarkEnd w:id="46"/>
      <w:bookmarkStart w:id="47" w:name="_Toc152045541"/>
      <w:bookmarkEnd w:id="47"/>
      <w:bookmarkStart w:id="48" w:name="_Toc152042311"/>
      <w:bookmarkEnd w:id="48"/>
      <w:bookmarkStart w:id="49" w:name="_Toc152042312"/>
      <w:bookmarkEnd w:id="49"/>
      <w:bookmarkStart w:id="50" w:name="_Toc238797557"/>
      <w:bookmarkEnd w:id="50"/>
      <w:bookmarkStart w:id="51" w:name="_Toc238797562"/>
      <w:bookmarkEnd w:id="51"/>
      <w:bookmarkStart w:id="52" w:name="_Toc144974509"/>
      <w:bookmarkEnd w:id="52"/>
      <w:bookmarkStart w:id="53" w:name="_Toc238797556"/>
      <w:bookmarkEnd w:id="53"/>
      <w:bookmarkStart w:id="54" w:name="_Toc152042318"/>
      <w:bookmarkEnd w:id="54"/>
      <w:bookmarkStart w:id="55" w:name="_Toc238552202"/>
      <w:bookmarkEnd w:id="55"/>
      <w:bookmarkStart w:id="56" w:name="_Toc152042317"/>
      <w:bookmarkEnd w:id="56"/>
      <w:bookmarkStart w:id="57" w:name="_Toc152045535"/>
      <w:bookmarkEnd w:id="57"/>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58" w:name="_Toc2080"/>
      <w:r>
        <w:rPr>
          <w:rFonts w:hint="eastAsia"/>
          <w:sz w:val="22"/>
          <w:szCs w:val="22"/>
          <w:lang w:val="en-US" w:eastAsia="zh-CN"/>
        </w:rPr>
        <w:t>2. 招标文件</w:t>
      </w:r>
      <w:bookmarkEnd w:id="58"/>
      <w:bookmarkStart w:id="59" w:name="_Toc144974511"/>
      <w:bookmarkEnd w:id="59"/>
      <w:bookmarkStart w:id="60" w:name="_Toc152042319"/>
      <w:bookmarkEnd w:id="60"/>
      <w:bookmarkStart w:id="61" w:name="_Toc238797565"/>
      <w:bookmarkEnd w:id="61"/>
      <w:bookmarkStart w:id="62" w:name="_Toc238552210"/>
      <w:bookmarkEnd w:id="62"/>
      <w:bookmarkStart w:id="63" w:name="_Toc433987435"/>
      <w:bookmarkEnd w:id="63"/>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2.1 招标文件的组成</w:t>
      </w:r>
    </w:p>
    <w:p>
      <w:pPr>
        <w:spacing w:line="360" w:lineRule="auto"/>
        <w:ind w:firstLine="630" w:firstLineChars="300"/>
      </w:pPr>
      <w:r>
        <w:rPr>
          <w:szCs w:val="21"/>
        </w:rPr>
        <w:t>2.1.1</w:t>
      </w:r>
      <w:r>
        <w:rPr>
          <w:rFonts w:hint="eastAsia" w:ascii="宋体" w:hAnsi="宋体" w:cs="宋体"/>
          <w:color w:val="000000"/>
          <w:sz w:val="21"/>
          <w:szCs w:val="21"/>
        </w:rPr>
        <w:t>本招标文件包括：</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（1）招标公告；</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（2）投标人须知；</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（3）评标办法；</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（4）合同条款及格式；</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（5）物资需求一览表；</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（6）技术规格书； </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（7）投标文件格式；</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（8）投标人须知前附表规定的其他材料。</w:t>
      </w:r>
    </w:p>
    <w:p>
      <w:pPr>
        <w:spacing w:line="360" w:lineRule="auto"/>
        <w:ind w:firstLine="420" w:firstLineChars="200"/>
      </w:pPr>
      <w:r>
        <w:rPr>
          <w:rFonts w:hint="eastAsia" w:ascii="宋体" w:hAnsi="宋体" w:eastAsia="宋体" w:cs="宋体"/>
          <w:color w:val="000000"/>
          <w:kern w:val="0"/>
          <w:szCs w:val="21"/>
        </w:rPr>
        <w:t>注：投标人应认真审阅招标文件中所有的招标须知、合同条款、投标文件格式、技术规格等。如果投标人的投标文件不能符合招标文件的要求，责任由投标人自负。实质上不响应招标文件要求的投标文件将被拒绝。</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2.2 招标文件的澄清</w:t>
      </w:r>
    </w:p>
    <w:p>
      <w:pPr>
        <w:spacing w:line="360" w:lineRule="auto"/>
        <w:ind w:firstLine="630" w:firstLineChars="300"/>
      </w:pPr>
      <w:r>
        <w:rPr>
          <w:szCs w:val="21"/>
        </w:rPr>
        <w:t xml:space="preserve">2.2.1 </w:t>
      </w:r>
      <w:r>
        <w:rPr>
          <w:rFonts w:hint="eastAsia" w:ascii="宋体" w:hAnsi="宋体" w:eastAsia="宋体" w:cs="宋体"/>
          <w:color w:val="000000"/>
          <w:kern w:val="0"/>
          <w:szCs w:val="21"/>
        </w:rPr>
        <w:t>投标人应仔细阅读和检查招标文件的全部内容。如发现缺页或附件不全，应及时向招标人提出，以便补齐。如有疑问，应在“投标人须知前附表”规定的时间前，要求招标人对招标文件予以澄清。</w:t>
      </w:r>
    </w:p>
    <w:p>
      <w:pPr>
        <w:spacing w:line="360" w:lineRule="auto"/>
        <w:ind w:firstLine="630" w:firstLineChars="300"/>
      </w:pPr>
      <w:r>
        <w:rPr>
          <w:szCs w:val="21"/>
        </w:rPr>
        <w:t xml:space="preserve">2.2.2 </w:t>
      </w:r>
      <w:r>
        <w:rPr>
          <w:rFonts w:hint="eastAsia" w:ascii="宋体" w:hAnsi="宋体" w:eastAsia="宋体" w:cs="宋体"/>
          <w:color w:val="000000"/>
          <w:kern w:val="0"/>
          <w:szCs w:val="21"/>
        </w:rPr>
        <w:t>招标文件的澄清将在“投标人须知前附表”规定的投标截止时间前以电子版形式或“投标人须知前附表”约定的形式发给所有投标人，但不指明澄清问题的来源。</w:t>
      </w:r>
    </w:p>
    <w:p>
      <w:pPr>
        <w:spacing w:line="360" w:lineRule="auto"/>
        <w:ind w:firstLine="630" w:firstLineChars="300"/>
        <w:rPr>
          <w:szCs w:val="21"/>
        </w:rPr>
      </w:pPr>
      <w:r>
        <w:rPr>
          <w:szCs w:val="21"/>
        </w:rPr>
        <w:t xml:space="preserve">2.2.3 </w:t>
      </w:r>
      <w:r>
        <w:rPr>
          <w:rFonts w:hint="eastAsia" w:ascii="宋体" w:hAnsi="宋体" w:eastAsia="宋体" w:cs="宋体"/>
          <w:color w:val="000000"/>
          <w:kern w:val="0"/>
          <w:szCs w:val="21"/>
        </w:rPr>
        <w:t>投标人在收到澄清后，应在“投标人须知前附表”规定的时间内通知招标人，确认已收到该澄清，未确认的视为投标人已收到该澄清文件。</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2.3 招标文件的修改</w:t>
      </w:r>
    </w:p>
    <w:p>
      <w:pPr>
        <w:spacing w:line="360" w:lineRule="auto"/>
        <w:ind w:firstLine="630" w:firstLineChars="300"/>
      </w:pPr>
      <w:r>
        <w:rPr>
          <w:rFonts w:hint="eastAsia"/>
        </w:rPr>
        <w:t xml:space="preserve">2.3.1 </w:t>
      </w:r>
      <w:r>
        <w:rPr>
          <w:rFonts w:hint="eastAsia" w:ascii="宋体" w:hAnsi="宋体" w:eastAsia="宋体" w:cs="宋体"/>
          <w:color w:val="000000"/>
          <w:kern w:val="0"/>
          <w:szCs w:val="21"/>
        </w:rPr>
        <w:t>在投标截止时间前，招标人可以在“投标人须知前附表”规定的时间内修改招标文件，并通知所有投标人。修改的内容可能影响投标文件编制的，招标人应当在投标截止时间3日前发出，如果修改招标文件的时间距投标截止时间不足3日，相应延长投标截止时间。</w:t>
      </w:r>
    </w:p>
    <w:p>
      <w:pPr>
        <w:spacing w:line="360" w:lineRule="auto"/>
        <w:ind w:firstLine="630" w:firstLineChars="300"/>
      </w:pPr>
      <w:r>
        <w:rPr>
          <w:rFonts w:hint="eastAsia"/>
        </w:rPr>
        <w:t xml:space="preserve">2.3.2 </w:t>
      </w:r>
      <w:r>
        <w:rPr>
          <w:rFonts w:hint="eastAsia" w:ascii="宋体" w:hAnsi="宋体" w:eastAsia="宋体" w:cs="宋体"/>
          <w:color w:val="000000"/>
          <w:kern w:val="0"/>
          <w:szCs w:val="21"/>
        </w:rPr>
        <w:t>投标人收到修改内容后，应在“投标人须知前”规定的时间内通知招标人，确认已收到该修改，未确认的视为投标人已收到该修改文件。</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2.4 构成招标文件的其他材料</w:t>
      </w:r>
    </w:p>
    <w:p>
      <w:pPr>
        <w:spacing w:line="360" w:lineRule="auto"/>
        <w:ind w:firstLine="630" w:firstLineChars="300"/>
      </w:pPr>
      <w:r>
        <w:rPr>
          <w:rFonts w:hint="eastAsia"/>
        </w:rPr>
        <w:t xml:space="preserve">2.4.1 </w:t>
      </w:r>
      <w:r>
        <w:rPr>
          <w:rFonts w:hint="eastAsia" w:ascii="宋体" w:hAnsi="宋体" w:cs="宋体"/>
          <w:color w:val="000000"/>
          <w:sz w:val="21"/>
          <w:szCs w:val="21"/>
        </w:rPr>
        <w:t>以招标编号的补遗书形式发布的对招标文件的澄清和修改内容，补遗书作为招标文件的组成部分，对所有投标人均具有约束力。</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2.5 对招标文件的异议</w:t>
      </w:r>
    </w:p>
    <w:p>
      <w:pPr>
        <w:spacing w:line="360" w:lineRule="auto"/>
        <w:ind w:firstLine="420" w:firstLineChars="200"/>
      </w:pPr>
      <w:r>
        <w:rPr>
          <w:rFonts w:hint="eastAsia"/>
        </w:rPr>
        <w:t>2.5.1</w:t>
      </w:r>
      <w:r>
        <w:rPr>
          <w:rFonts w:hint="eastAsia" w:ascii="宋体" w:hAnsi="宋体" w:eastAsia="宋体" w:cs="宋体"/>
          <w:color w:val="000000"/>
          <w:kern w:val="0"/>
          <w:szCs w:val="21"/>
        </w:rPr>
        <w:t>投标人或者其他利害关系人对招标文件有异议的，应当在投标截止时间7日前以书面形式提出。招标人应当自收到异议之日起3天内作出答复；作出答复前，应当暂停招标投标活动</w:t>
      </w:r>
      <w:r>
        <w:rPr>
          <w:rFonts w:hint="eastAsia" w:ascii="宋体" w:hAnsi="宋体" w:cs="宋体"/>
          <w:color w:val="000000"/>
          <w:kern w:val="0"/>
          <w:szCs w:val="21"/>
        </w:rPr>
        <w:t>。</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64" w:name="_Toc2576"/>
      <w:r>
        <w:rPr>
          <w:rFonts w:hint="eastAsia"/>
          <w:sz w:val="22"/>
          <w:szCs w:val="22"/>
          <w:lang w:val="en-US" w:eastAsia="zh-CN"/>
        </w:rPr>
        <w:t>3. 投标文件</w:t>
      </w:r>
      <w:bookmarkEnd w:id="64"/>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3.1 投标文件的组成</w:t>
      </w:r>
    </w:p>
    <w:p>
      <w:pPr>
        <w:spacing w:line="360" w:lineRule="auto"/>
        <w:ind w:firstLine="630" w:firstLineChars="300"/>
      </w:pPr>
      <w:r>
        <w:rPr>
          <w:rFonts w:hint="eastAsia"/>
        </w:rPr>
        <w:t xml:space="preserve">3.1.1 </w:t>
      </w:r>
      <w:r>
        <w:rPr>
          <w:rFonts w:hint="eastAsia" w:ascii="宋体" w:hAnsi="宋体" w:eastAsia="宋体" w:cs="宋体"/>
          <w:color w:val="000000"/>
          <w:kern w:val="0"/>
          <w:szCs w:val="21"/>
        </w:rPr>
        <w:t>投标文件应包括下列内容：</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（1）投标函；</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（2）法定代表人证明及委托代理人授权委托书；</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（3）投标担保；</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（4）资格审查资料；</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（5）投标报价资料；</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（6）投标人资格声明；</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（7）组织供应、运输方案；</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（8）投标物资技术规格书；</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（9）履约保证承诺书；</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（10）资料真实性承诺书；</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（11）“投标人须知前附表”规定的其他材料</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3.2 投标报价</w:t>
      </w:r>
    </w:p>
    <w:p>
      <w:pPr>
        <w:spacing w:line="360" w:lineRule="auto"/>
        <w:ind w:firstLine="630" w:firstLineChars="300"/>
      </w:pPr>
      <w:r>
        <w:rPr>
          <w:rFonts w:hint="eastAsia"/>
        </w:rPr>
        <w:t xml:space="preserve">3.2.1 </w:t>
      </w:r>
      <w:r>
        <w:rPr>
          <w:rFonts w:hint="eastAsia" w:ascii="宋体" w:hAnsi="宋体" w:eastAsia="宋体" w:cs="宋体"/>
          <w:color w:val="000000"/>
          <w:kern w:val="0"/>
          <w:szCs w:val="21"/>
        </w:rPr>
        <w:t>投标人应按“投标文件格式”的要求填写相应表格。</w:t>
      </w:r>
    </w:p>
    <w:p>
      <w:pPr>
        <w:spacing w:line="360" w:lineRule="auto"/>
        <w:ind w:firstLine="630" w:firstLineChars="300"/>
      </w:pPr>
      <w:r>
        <w:rPr>
          <w:rFonts w:hint="eastAsia"/>
        </w:rPr>
        <w:t>3.2.2</w:t>
      </w:r>
      <w:r>
        <w:rPr>
          <w:rFonts w:hint="eastAsia" w:ascii="宋体" w:hAnsi="宋体" w:eastAsia="宋体" w:cs="宋体"/>
          <w:color w:val="000000"/>
          <w:kern w:val="0"/>
          <w:szCs w:val="21"/>
        </w:rPr>
        <w:t>投标报价为每包件物资运送到指定地点的到站总价，包括出厂价、运杂费</w:t>
      </w:r>
      <w:r>
        <w:rPr>
          <w:rFonts w:hint="eastAsia" w:ascii="宋体" w:hAnsi="宋体" w:eastAsia="宋体" w:cs="宋体"/>
          <w:color w:val="000000"/>
          <w:kern w:val="0"/>
          <w:szCs w:val="21"/>
          <w:lang w:eastAsia="zh-CN"/>
        </w:rPr>
        <w:t>（</w:t>
      </w:r>
      <w:r>
        <w:rPr>
          <w:rFonts w:hint="eastAsia" w:ascii="宋体" w:hAnsi="宋体" w:eastAsia="宋体" w:cs="宋体"/>
          <w:color w:val="000000"/>
          <w:kern w:val="0"/>
          <w:szCs w:val="21"/>
          <w:lang w:val="en-US" w:eastAsia="zh-CN"/>
        </w:rPr>
        <w:t>若有）</w:t>
      </w:r>
      <w:r>
        <w:rPr>
          <w:rFonts w:hint="eastAsia" w:ascii="宋体" w:hAnsi="宋体" w:eastAsia="宋体" w:cs="宋体"/>
          <w:color w:val="000000"/>
          <w:kern w:val="0"/>
          <w:szCs w:val="21"/>
        </w:rPr>
        <w:t>。投标人应按招标文件要求递交投标物资报价表、物资描述表和物资报价成本分析表，表中各栏填写齐全（包括运距）。运杂费一栏应如实填写。</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（1）出厂单价指在物资的生产所在地装车发运前的价格，包含但不限于材料费、试验费（含首次外检试验费）、专利费、包装费、搬运、储存、装车费等以及所有的相关税项费用。</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2）运杂费指投标人把物资由生产所在地完好无损地运至招标人指定交货地点所发生的一切费用（包含税费）。卸车由甲方负责。招标人将不组织投标人考查施工现场，运输路线及施工现场存放料地点由投标人自行考查。</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（3）第一次物资送外检费用以及每次抽检不合格的费用由投标人承担。</w:t>
      </w:r>
    </w:p>
    <w:p>
      <w:pPr>
        <w:spacing w:line="360" w:lineRule="auto"/>
        <w:ind w:firstLine="840" w:firstLineChars="400"/>
        <w:rPr>
          <w:rFonts w:hint="eastAsia" w:ascii="宋体" w:hAnsi="宋体" w:eastAsia="宋体" w:cs="宋体"/>
          <w:color w:val="000000"/>
          <w:kern w:val="0"/>
          <w:szCs w:val="21"/>
        </w:rPr>
      </w:pPr>
      <w:r>
        <w:rPr>
          <w:rFonts w:hint="eastAsia" w:ascii="宋体" w:hAnsi="宋体" w:eastAsia="宋体" w:cs="宋体"/>
          <w:color w:val="000000"/>
          <w:kern w:val="0"/>
          <w:szCs w:val="21"/>
        </w:rPr>
        <w:t>（4）本期招标材料供货单价为固定单价，在合同有效期间一律不予调整。</w:t>
      </w:r>
    </w:p>
    <w:p>
      <w:pPr>
        <w:spacing w:line="360" w:lineRule="auto"/>
        <w:ind w:firstLine="630" w:firstLineChars="300"/>
      </w:pPr>
      <w:r>
        <w:rPr>
          <w:rFonts w:hint="eastAsia"/>
        </w:rPr>
        <w:t>3.2.</w:t>
      </w:r>
      <w:r>
        <w:rPr>
          <w:rFonts w:hint="eastAsia"/>
          <w:lang w:val="en-US" w:eastAsia="zh-CN"/>
        </w:rPr>
        <w:t>3</w:t>
      </w:r>
      <w:r>
        <w:rPr>
          <w:rFonts w:hint="eastAsia"/>
        </w:rPr>
        <w:t xml:space="preserve"> </w:t>
      </w:r>
      <w:r>
        <w:rPr>
          <w:rFonts w:hint="eastAsia" w:ascii="宋体" w:hAnsi="宋体" w:eastAsia="宋体" w:cs="宋体"/>
          <w:color w:val="000000"/>
          <w:kern w:val="0"/>
          <w:szCs w:val="21"/>
        </w:rPr>
        <w:t>投标单价</w:t>
      </w:r>
    </w:p>
    <w:p>
      <w:pPr>
        <w:spacing w:line="360" w:lineRule="auto"/>
        <w:ind w:firstLine="420" w:firstLineChars="200"/>
      </w:pPr>
      <w:r>
        <w:rPr>
          <w:rFonts w:hint="eastAsia" w:ascii="宋体" w:hAnsi="宋体" w:eastAsia="宋体" w:cs="宋体"/>
          <w:color w:val="000000"/>
          <w:kern w:val="0"/>
          <w:szCs w:val="21"/>
        </w:rPr>
        <w:t>结算单价：固定单价</w:t>
      </w:r>
    </w:p>
    <w:p>
      <w:pPr>
        <w:spacing w:line="360" w:lineRule="auto"/>
        <w:ind w:firstLine="630" w:firstLineChars="300"/>
      </w:pPr>
      <w:r>
        <w:rPr>
          <w:rFonts w:hint="eastAsia"/>
        </w:rPr>
        <w:t>3.2.</w:t>
      </w:r>
      <w:r>
        <w:rPr>
          <w:rFonts w:hint="eastAsia"/>
          <w:lang w:val="en-US" w:eastAsia="zh-CN"/>
        </w:rPr>
        <w:t>4</w:t>
      </w:r>
      <w:bookmarkStart w:id="147" w:name="_GoBack"/>
      <w:bookmarkEnd w:id="147"/>
      <w:r>
        <w:rPr>
          <w:rFonts w:hint="eastAsia" w:ascii="宋体" w:hAnsi="宋体" w:eastAsia="宋体" w:cs="宋体"/>
          <w:color w:val="000000"/>
          <w:kern w:val="0"/>
          <w:szCs w:val="21"/>
        </w:rPr>
        <w:t>付款方式</w:t>
      </w:r>
    </w:p>
    <w:p>
      <w:pPr>
        <w:spacing w:line="360" w:lineRule="auto"/>
        <w:ind w:firstLine="420" w:firstLineChars="200"/>
        <w:rPr>
          <w:rFonts w:hint="eastAsia" w:ascii="宋体" w:hAnsi="宋体" w:eastAsia="宋体" w:cs="宋体"/>
          <w:color w:val="000000"/>
          <w:kern w:val="0"/>
          <w:szCs w:val="21"/>
        </w:rPr>
      </w:pPr>
      <w:r>
        <w:rPr>
          <w:rFonts w:hint="eastAsia"/>
          <w:highlight w:val="none"/>
        </w:rPr>
        <w:t>合同签订卖方完成深化设计并提出方案，得到买方和业主审核通过后，7个工作日内以电汇形式支付合同总额的</w:t>
      </w:r>
      <w:r>
        <w:rPr>
          <w:rFonts w:hint="eastAsia"/>
          <w:highlight w:val="none"/>
          <w:lang w:val="en-US" w:eastAsia="zh-CN"/>
        </w:rPr>
        <w:t>30</w:t>
      </w:r>
      <w:r>
        <w:rPr>
          <w:rFonts w:hint="eastAsia"/>
          <w:highlight w:val="none"/>
        </w:rPr>
        <w:t>%预付款</w:t>
      </w:r>
      <w:r>
        <w:rPr>
          <w:rFonts w:hint="eastAsia"/>
          <w:highlight w:val="none"/>
          <w:lang w:eastAsia="zh-CN"/>
        </w:rPr>
        <w:t>；</w:t>
      </w:r>
      <w:r>
        <w:rPr>
          <w:rFonts w:hint="eastAsia"/>
          <w:highlight w:val="none"/>
          <w:lang w:val="en-US" w:eastAsia="zh-CN"/>
        </w:rPr>
        <w:t>买方</w:t>
      </w:r>
      <w:r>
        <w:rPr>
          <w:rFonts w:hint="eastAsia"/>
          <w:highlight w:val="none"/>
        </w:rPr>
        <w:t>于</w:t>
      </w:r>
      <w:r>
        <w:rPr>
          <w:rFonts w:hint="eastAsia"/>
          <w:highlight w:val="none"/>
          <w:lang w:val="en-US" w:eastAsia="zh-CN"/>
        </w:rPr>
        <w:t>卖方</w:t>
      </w:r>
      <w:r>
        <w:rPr>
          <w:rFonts w:hint="eastAsia"/>
          <w:highlight w:val="none"/>
        </w:rPr>
        <w:t>工厂验收合格</w:t>
      </w:r>
      <w:r>
        <w:rPr>
          <w:rFonts w:hint="eastAsia"/>
          <w:highlight w:val="none"/>
          <w:lang w:val="en-US" w:eastAsia="zh-CN"/>
        </w:rPr>
        <w:t>后</w:t>
      </w:r>
      <w:r>
        <w:rPr>
          <w:rFonts w:hint="eastAsia"/>
          <w:highlight w:val="none"/>
        </w:rPr>
        <w:t>，以电汇方式支付</w:t>
      </w:r>
      <w:r>
        <w:rPr>
          <w:rFonts w:hint="eastAsia"/>
          <w:highlight w:val="none"/>
          <w:lang w:val="en-US" w:eastAsia="zh-CN"/>
        </w:rPr>
        <w:t>卖方</w:t>
      </w:r>
      <w:r>
        <w:rPr>
          <w:rFonts w:hint="eastAsia"/>
          <w:highlight w:val="none"/>
        </w:rPr>
        <w:t>对应合同总金额</w:t>
      </w:r>
      <w:r>
        <w:rPr>
          <w:rFonts w:hint="eastAsia"/>
          <w:highlight w:val="none"/>
          <w:lang w:val="en-US" w:eastAsia="zh-CN"/>
        </w:rPr>
        <w:t>65</w:t>
      </w:r>
      <w:r>
        <w:rPr>
          <w:rFonts w:hint="eastAsia"/>
          <w:highlight w:val="none"/>
        </w:rPr>
        <w:t>%的货款，货款到账后</w:t>
      </w:r>
      <w:r>
        <w:rPr>
          <w:rFonts w:hint="eastAsia"/>
          <w:highlight w:val="none"/>
          <w:lang w:val="en-US" w:eastAsia="zh-CN"/>
        </w:rPr>
        <w:t>卖</w:t>
      </w:r>
      <w:r>
        <w:rPr>
          <w:rFonts w:hint="eastAsia"/>
          <w:highlight w:val="none"/>
        </w:rPr>
        <w:t>方发货</w:t>
      </w:r>
      <w:r>
        <w:rPr>
          <w:rFonts w:hint="eastAsia"/>
          <w:highlight w:val="none"/>
          <w:lang w:eastAsia="zh-CN"/>
        </w:rPr>
        <w:t>。</w:t>
      </w:r>
      <w:r>
        <w:rPr>
          <w:rFonts w:hint="eastAsia"/>
          <w:highlight w:val="none"/>
        </w:rPr>
        <w:t>剩余的合同总额</w:t>
      </w:r>
      <w:r>
        <w:rPr>
          <w:rFonts w:hint="eastAsia"/>
          <w:highlight w:val="none"/>
          <w:lang w:val="en-US" w:eastAsia="zh-CN"/>
        </w:rPr>
        <w:t>5</w:t>
      </w:r>
      <w:r>
        <w:rPr>
          <w:rFonts w:hint="eastAsia"/>
          <w:highlight w:val="none"/>
        </w:rPr>
        <w:t>%作为质量保证金，在顺利完成最后一层铝模板施工后3天内以电汇形式支付.最终的付款方式以定标后的合同签订为准。</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买方</w:t>
      </w:r>
      <w:r>
        <w:rPr>
          <w:rFonts w:hint="eastAsia" w:ascii="宋体" w:hAnsi="宋体" w:eastAsia="宋体" w:cs="宋体"/>
          <w:color w:val="000000"/>
          <w:kern w:val="0"/>
          <w:szCs w:val="21"/>
        </w:rPr>
        <w:t>验收合格并收料前发生的一切费用或损失或造成的第三者损失均由</w:t>
      </w:r>
      <w:r>
        <w:rPr>
          <w:rFonts w:hint="eastAsia" w:ascii="宋体" w:hAnsi="宋体" w:eastAsia="宋体" w:cs="宋体"/>
          <w:color w:val="000000"/>
          <w:kern w:val="0"/>
          <w:szCs w:val="21"/>
          <w:lang w:val="en-US" w:eastAsia="zh-CN"/>
        </w:rPr>
        <w:t>卖方</w:t>
      </w:r>
      <w:r>
        <w:rPr>
          <w:rFonts w:hint="eastAsia" w:ascii="宋体" w:hAnsi="宋体" w:eastAsia="宋体" w:cs="宋体"/>
          <w:color w:val="000000"/>
          <w:kern w:val="0"/>
          <w:szCs w:val="21"/>
        </w:rPr>
        <w:t>自负，</w:t>
      </w:r>
      <w:r>
        <w:rPr>
          <w:rFonts w:hint="eastAsia" w:ascii="宋体" w:hAnsi="宋体" w:eastAsia="宋体" w:cs="宋体"/>
          <w:color w:val="000000"/>
          <w:kern w:val="0"/>
          <w:szCs w:val="21"/>
          <w:lang w:val="en-US" w:eastAsia="zh-CN"/>
        </w:rPr>
        <w:t>买方</w:t>
      </w:r>
      <w:r>
        <w:rPr>
          <w:rFonts w:hint="eastAsia" w:ascii="宋体" w:hAnsi="宋体" w:eastAsia="宋体" w:cs="宋体"/>
          <w:color w:val="000000"/>
          <w:kern w:val="0"/>
          <w:szCs w:val="21"/>
        </w:rPr>
        <w:t>不承担任何费用及责任。</w:t>
      </w:r>
    </w:p>
    <w:p>
      <w:pPr>
        <w:spacing w:line="360" w:lineRule="auto"/>
        <w:ind w:firstLine="420" w:firstLineChars="200"/>
        <w:rPr>
          <w:rFonts w:ascii="宋体" w:hAnsi="宋体" w:eastAsia="宋体" w:cs="宋体"/>
          <w:color w:val="000000"/>
          <w:kern w:val="0"/>
          <w:szCs w:val="21"/>
        </w:rPr>
      </w:pPr>
      <w:r>
        <w:rPr>
          <w:rFonts w:hint="eastAsia" w:ascii="宋体" w:hAnsi="宋体" w:eastAsia="宋体" w:cs="宋体"/>
          <w:color w:val="000000"/>
          <w:kern w:val="0"/>
          <w:szCs w:val="21"/>
          <w:lang w:val="en-US" w:eastAsia="zh-CN"/>
        </w:rPr>
        <w:t>卖方</w:t>
      </w:r>
      <w:r>
        <w:rPr>
          <w:rFonts w:hint="eastAsia" w:ascii="宋体" w:hAnsi="宋体" w:eastAsia="宋体" w:cs="宋体"/>
          <w:color w:val="000000"/>
          <w:kern w:val="0"/>
          <w:szCs w:val="21"/>
        </w:rPr>
        <w:t>货款结算人原则上应为合同指定结算人，非合同指定结算人办理货款结算时，须持合同当事人签发的授权委托书原件。</w:t>
      </w:r>
    </w:p>
    <w:p>
      <w:pPr>
        <w:pStyle w:val="15"/>
        <w:spacing w:line="360" w:lineRule="auto"/>
      </w:pPr>
      <w:r>
        <w:rPr>
          <w:rFonts w:hint="eastAsia" w:ascii="宋体" w:hAnsi="宋体" w:cs="宋体"/>
          <w:color w:val="000000"/>
          <w:sz w:val="21"/>
          <w:szCs w:val="21"/>
        </w:rPr>
        <w:t>若业主计量原因，工程款无法及时拨付时，</w:t>
      </w:r>
      <w:r>
        <w:rPr>
          <w:rFonts w:hint="eastAsia" w:ascii="宋体" w:hAnsi="宋体" w:cs="宋体"/>
          <w:color w:val="000000"/>
          <w:sz w:val="21"/>
          <w:szCs w:val="21"/>
          <w:lang w:val="en-US" w:eastAsia="zh-CN"/>
        </w:rPr>
        <w:t>买方</w:t>
      </w:r>
      <w:r>
        <w:rPr>
          <w:rFonts w:hint="eastAsia" w:ascii="宋体" w:hAnsi="宋体" w:cs="宋体"/>
          <w:color w:val="000000"/>
          <w:sz w:val="21"/>
          <w:szCs w:val="21"/>
        </w:rPr>
        <w:t>可适当延迟付款时间，</w:t>
      </w:r>
      <w:r>
        <w:rPr>
          <w:rFonts w:hint="eastAsia" w:ascii="宋体" w:hAnsi="宋体" w:cs="宋体"/>
          <w:color w:val="000000"/>
          <w:sz w:val="21"/>
          <w:szCs w:val="21"/>
          <w:lang w:val="en-US" w:eastAsia="zh-CN"/>
        </w:rPr>
        <w:t>卖方</w:t>
      </w:r>
      <w:r>
        <w:rPr>
          <w:rFonts w:hint="eastAsia" w:ascii="宋体" w:hAnsi="宋体" w:cs="宋体"/>
          <w:color w:val="000000"/>
          <w:sz w:val="21"/>
          <w:szCs w:val="21"/>
        </w:rPr>
        <w:t>应给予理解、支持。</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3.3 投标有效期</w:t>
      </w:r>
    </w:p>
    <w:p>
      <w:pPr>
        <w:spacing w:line="360" w:lineRule="auto"/>
        <w:ind w:firstLine="630" w:firstLineChars="300"/>
      </w:pPr>
      <w:r>
        <w:rPr>
          <w:rFonts w:hint="eastAsia"/>
        </w:rPr>
        <w:t xml:space="preserve">3.3.1 </w:t>
      </w:r>
      <w:r>
        <w:rPr>
          <w:rFonts w:hint="eastAsia" w:ascii="宋体" w:hAnsi="宋体" w:eastAsia="宋体" w:cs="宋体"/>
          <w:color w:val="000000"/>
          <w:kern w:val="0"/>
          <w:szCs w:val="21"/>
        </w:rPr>
        <w:t>在“投标人须知前附表”规定的投标有效期内，投标人不得要求撤销或修改其投标文件。</w:t>
      </w:r>
    </w:p>
    <w:p>
      <w:pPr>
        <w:spacing w:line="360" w:lineRule="auto"/>
        <w:ind w:firstLine="630" w:firstLineChars="300"/>
      </w:pPr>
      <w:r>
        <w:rPr>
          <w:rFonts w:hint="eastAsia"/>
        </w:rPr>
        <w:t xml:space="preserve">3.3.2 </w:t>
      </w:r>
      <w:r>
        <w:rPr>
          <w:rFonts w:hint="eastAsia" w:ascii="宋体" w:hAnsi="宋体" w:cs="宋体"/>
          <w:color w:val="000000"/>
          <w:sz w:val="21"/>
          <w:szCs w:val="21"/>
        </w:rPr>
        <w:t xml:space="preserve">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无息）。 </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3.4 资格审查资料</w:t>
      </w:r>
    </w:p>
    <w:p>
      <w:pPr>
        <w:spacing w:line="360" w:lineRule="auto"/>
        <w:ind w:firstLine="630" w:firstLineChars="300"/>
      </w:pPr>
      <w:r>
        <w:rPr>
          <w:rFonts w:hint="eastAsia"/>
        </w:rPr>
        <w:t>3.</w:t>
      </w:r>
      <w:r>
        <w:rPr>
          <w:rFonts w:hint="eastAsia"/>
          <w:lang w:val="en-US" w:eastAsia="zh-CN"/>
        </w:rPr>
        <w:t>4</w:t>
      </w:r>
      <w:r>
        <w:rPr>
          <w:rFonts w:hint="eastAsia"/>
        </w:rPr>
        <w:t xml:space="preserve">.1 </w:t>
      </w:r>
      <w:r>
        <w:rPr>
          <w:rFonts w:hint="eastAsia" w:ascii="宋体" w:hAnsi="宋体" w:eastAsia="宋体" w:cs="宋体"/>
          <w:color w:val="000000"/>
          <w:kern w:val="0"/>
          <w:szCs w:val="21"/>
        </w:rPr>
        <w:t>“投标人基本情况表”应附投标人营业执照副本及其年检合格的证明材料、一般纳税人资格证明等材料的复印件。</w:t>
      </w:r>
    </w:p>
    <w:p>
      <w:pPr>
        <w:spacing w:line="360" w:lineRule="auto"/>
        <w:ind w:firstLine="630" w:firstLineChars="300"/>
      </w:pPr>
      <w:r>
        <w:rPr>
          <w:rFonts w:hint="eastAsia"/>
        </w:rPr>
        <w:t>3.</w:t>
      </w:r>
      <w:r>
        <w:rPr>
          <w:rFonts w:hint="eastAsia"/>
          <w:lang w:val="en-US" w:eastAsia="zh-CN"/>
        </w:rPr>
        <w:t>4</w:t>
      </w:r>
      <w:r>
        <w:rPr>
          <w:rFonts w:hint="eastAsia"/>
        </w:rPr>
        <w:t xml:space="preserve">.2 </w:t>
      </w:r>
      <w:r>
        <w:rPr>
          <w:rFonts w:hint="eastAsia" w:ascii="宋体" w:hAnsi="宋体" w:eastAsia="宋体" w:cs="宋体"/>
          <w:color w:val="000000"/>
          <w:kern w:val="0"/>
          <w:szCs w:val="21"/>
        </w:rPr>
        <w:t>“生产能力证明”应附企业的主要生产设备型号、台套数或生产线条数，日平均生产能力、所生产产品的规格型号和相应检测设备（设施）等证明材料。</w:t>
      </w:r>
    </w:p>
    <w:p>
      <w:pPr>
        <w:spacing w:line="360" w:lineRule="auto"/>
        <w:ind w:firstLine="630" w:firstLineChars="300"/>
      </w:pPr>
      <w:r>
        <w:rPr>
          <w:rFonts w:hint="eastAsia"/>
        </w:rPr>
        <w:t>3.</w:t>
      </w:r>
      <w:r>
        <w:rPr>
          <w:rFonts w:hint="eastAsia"/>
          <w:lang w:val="en-US" w:eastAsia="zh-CN"/>
        </w:rPr>
        <w:t>4</w:t>
      </w:r>
      <w:r>
        <w:rPr>
          <w:rFonts w:hint="eastAsia"/>
        </w:rPr>
        <w:t xml:space="preserve">.3 </w:t>
      </w:r>
      <w:r>
        <w:rPr>
          <w:rFonts w:hint="eastAsia" w:ascii="宋体" w:hAnsi="宋体" w:eastAsia="宋体" w:cs="宋体"/>
          <w:color w:val="000000"/>
          <w:kern w:val="0"/>
          <w:szCs w:val="21"/>
        </w:rPr>
        <w:t>“质量保证能力证明”应附投标生产商具有内部质量管理体系，具有符合国家规定的的配套生产设备，具备甲级资质检测部门出具的有效期内的产品合格检测报告；投标人为销售商的应提供所代理产品生产企业上述相关资料。</w:t>
      </w:r>
    </w:p>
    <w:p>
      <w:pPr>
        <w:spacing w:line="360" w:lineRule="auto"/>
        <w:ind w:firstLine="630" w:firstLineChars="300"/>
      </w:pPr>
      <w:r>
        <w:rPr>
          <w:rFonts w:hint="eastAsia"/>
        </w:rPr>
        <w:t>3.</w:t>
      </w:r>
      <w:r>
        <w:rPr>
          <w:rFonts w:hint="eastAsia"/>
          <w:lang w:val="en-US" w:eastAsia="zh-CN"/>
        </w:rPr>
        <w:t>4</w:t>
      </w:r>
      <w:r>
        <w:rPr>
          <w:rFonts w:hint="eastAsia"/>
        </w:rPr>
        <w:t>.4</w:t>
      </w:r>
      <w:r>
        <w:rPr>
          <w:rFonts w:hint="eastAsia" w:ascii="宋体" w:hAnsi="宋体" w:eastAsia="宋体" w:cs="宋体"/>
          <w:color w:val="000000"/>
          <w:kern w:val="0"/>
          <w:szCs w:val="21"/>
        </w:rPr>
        <w:t>“近年同类物资供货业绩表（新产品除外）”应附中标通知书或合同协议书、或用户证明的复印件，具体年份要求见“投标人须知前附表”。</w:t>
      </w:r>
    </w:p>
    <w:p>
      <w:pPr>
        <w:spacing w:line="360" w:lineRule="auto"/>
        <w:ind w:firstLine="630" w:firstLineChars="300"/>
      </w:pPr>
      <w:r>
        <w:rPr>
          <w:rFonts w:hint="eastAsia"/>
        </w:rPr>
        <w:t>3.</w:t>
      </w:r>
      <w:r>
        <w:rPr>
          <w:rFonts w:hint="eastAsia"/>
          <w:lang w:val="en-US" w:eastAsia="zh-CN"/>
        </w:rPr>
        <w:t>4</w:t>
      </w:r>
      <w:r>
        <w:rPr>
          <w:rFonts w:hint="eastAsia"/>
        </w:rPr>
        <w:t>.</w:t>
      </w:r>
      <w:r>
        <w:rPr>
          <w:rFonts w:hint="eastAsia"/>
          <w:lang w:val="en-US" w:eastAsia="zh-CN"/>
        </w:rPr>
        <w:t>5</w:t>
      </w:r>
      <w:r>
        <w:rPr>
          <w:rFonts w:hint="eastAsia"/>
        </w:rPr>
        <w:t xml:space="preserve"> </w:t>
      </w:r>
      <w:r>
        <w:rPr>
          <w:rFonts w:hint="eastAsia" w:ascii="宋体" w:hAnsi="宋体" w:eastAsia="宋体" w:cs="宋体"/>
          <w:color w:val="000000"/>
          <w:kern w:val="0"/>
          <w:szCs w:val="21"/>
        </w:rPr>
        <w:t>“正在实施和新承接的同类投标物资合同情况”应附中标通知书或合同协议书复印件（含合同数量及交货期等）。</w:t>
      </w:r>
    </w:p>
    <w:p>
      <w:pPr>
        <w:spacing w:line="360" w:lineRule="auto"/>
        <w:ind w:firstLine="630" w:firstLineChars="300"/>
      </w:pPr>
      <w:r>
        <w:rPr>
          <w:rFonts w:hint="eastAsia"/>
        </w:rPr>
        <w:t>3.</w:t>
      </w:r>
      <w:r>
        <w:rPr>
          <w:rFonts w:hint="eastAsia"/>
          <w:lang w:val="en-US" w:eastAsia="zh-CN"/>
        </w:rPr>
        <w:t>4</w:t>
      </w:r>
      <w:r>
        <w:rPr>
          <w:rFonts w:hint="eastAsia"/>
        </w:rPr>
        <w:t>.</w:t>
      </w:r>
      <w:r>
        <w:rPr>
          <w:rFonts w:hint="eastAsia"/>
          <w:lang w:val="en-US" w:eastAsia="zh-CN"/>
        </w:rPr>
        <w:t>6</w:t>
      </w:r>
      <w:r>
        <w:rPr>
          <w:rFonts w:hint="eastAsia"/>
        </w:rPr>
        <w:t xml:space="preserve"> </w:t>
      </w:r>
      <w:r>
        <w:rPr>
          <w:rFonts w:hint="eastAsia" w:ascii="宋体" w:hAnsi="宋体" w:eastAsia="宋体" w:cs="宋体"/>
          <w:color w:val="000000"/>
          <w:kern w:val="0"/>
          <w:szCs w:val="21"/>
        </w:rPr>
        <w:t>其他资格内容要求见投标人须知前附表。</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65" w:name="_Toc24825"/>
      <w:r>
        <w:rPr>
          <w:rFonts w:hint="eastAsia"/>
          <w:sz w:val="22"/>
          <w:szCs w:val="22"/>
          <w:lang w:val="en-US" w:eastAsia="zh-CN"/>
        </w:rPr>
        <w:t>4. 总则</w:t>
      </w:r>
      <w:bookmarkEnd w:id="65"/>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4.1适用范围</w:t>
      </w:r>
    </w:p>
    <w:p>
      <w:pPr>
        <w:spacing w:line="360" w:lineRule="auto"/>
        <w:ind w:firstLine="420" w:firstLineChars="200"/>
      </w:pPr>
      <w:r>
        <w:rPr>
          <w:rFonts w:hint="eastAsia" w:ascii="宋体" w:hAnsi="宋体" w:eastAsia="宋体" w:cs="宋体"/>
          <w:color w:val="000000"/>
          <w:kern w:val="0"/>
          <w:szCs w:val="21"/>
        </w:rPr>
        <w:t>本招标文件适用于本次招标项目物资的招标。</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4.2定义</w:t>
      </w:r>
    </w:p>
    <w:p>
      <w:pPr>
        <w:numPr>
          <w:ilvl w:val="0"/>
          <w:numId w:val="4"/>
        </w:numPr>
        <w:spacing w:line="360" w:lineRule="auto"/>
        <w:ind w:firstLine="420" w:firstLineChars="200"/>
        <w:rPr>
          <w:rFonts w:hint="eastAsia" w:ascii="宋体" w:hAnsi="宋体" w:cs="宋体"/>
          <w:color w:val="000000"/>
          <w:kern w:val="0"/>
          <w:szCs w:val="21"/>
        </w:rPr>
      </w:pPr>
      <w:r>
        <w:rPr>
          <w:rFonts w:hint="eastAsia"/>
        </w:rPr>
        <w:t>“</w:t>
      </w:r>
      <w:r>
        <w:rPr>
          <w:rFonts w:hint="eastAsia" w:ascii="宋体" w:hAnsi="宋体" w:eastAsia="宋体" w:cs="宋体"/>
          <w:color w:val="000000"/>
          <w:kern w:val="0"/>
          <w:szCs w:val="21"/>
        </w:rPr>
        <w:t>招标方”系指组织本次招标的</w:t>
      </w:r>
      <w:r>
        <w:rPr>
          <w:rFonts w:hint="eastAsia" w:ascii="宋体" w:hAnsi="宋体" w:cs="宋体" w:eastAsiaTheme="minorEastAsia"/>
          <w:color w:val="000000"/>
          <w:kern w:val="0"/>
          <w:sz w:val="21"/>
          <w:szCs w:val="21"/>
          <w:lang w:val="en-US" w:eastAsia="zh-CN" w:bidi="ar-SA"/>
        </w:rPr>
        <w:t>中武（福建）跨境电子商务有限责任公司</w:t>
      </w:r>
      <w:r>
        <w:rPr>
          <w:rFonts w:hint="eastAsia" w:ascii="宋体" w:hAnsi="宋体" w:cs="宋体"/>
          <w:color w:val="000000"/>
          <w:kern w:val="0"/>
          <w:szCs w:val="21"/>
        </w:rPr>
        <w:t>。</w:t>
      </w:r>
    </w:p>
    <w:p>
      <w:pPr>
        <w:numPr>
          <w:ilvl w:val="0"/>
          <w:numId w:val="4"/>
        </w:numPr>
        <w:spacing w:line="360" w:lineRule="auto"/>
        <w:ind w:firstLine="420" w:firstLineChars="200"/>
      </w:pPr>
      <w:r>
        <w:rPr>
          <w:rFonts w:hint="eastAsia" w:ascii="宋体" w:hAnsi="宋体" w:eastAsia="宋体" w:cs="宋体"/>
          <w:color w:val="000000"/>
          <w:kern w:val="0"/>
          <w:szCs w:val="21"/>
        </w:rPr>
        <w:t>“投标方”系指向招标方提交投标文件的各供应商。</w:t>
      </w:r>
    </w:p>
    <w:p>
      <w:pPr>
        <w:numPr>
          <w:ilvl w:val="0"/>
          <w:numId w:val="4"/>
        </w:numPr>
        <w:spacing w:line="360" w:lineRule="auto"/>
        <w:ind w:firstLine="420" w:firstLineChars="200"/>
      </w:pPr>
      <w:r>
        <w:rPr>
          <w:rFonts w:hint="eastAsia" w:ascii="宋体" w:hAnsi="宋体" w:eastAsia="宋体" w:cs="宋体"/>
          <w:color w:val="000000"/>
          <w:kern w:val="0"/>
          <w:szCs w:val="21"/>
        </w:rPr>
        <w:t>“服务”系指招标文件规定卖方须承担</w:t>
      </w:r>
      <w:r>
        <w:rPr>
          <w:rFonts w:hint="eastAsia" w:ascii="宋体" w:hAnsi="宋体" w:eastAsia="宋体" w:cs="宋体"/>
          <w:color w:val="000000"/>
          <w:kern w:val="0"/>
          <w:szCs w:val="21"/>
          <w:lang w:val="en-US" w:eastAsia="zh-CN"/>
        </w:rPr>
        <w:t>的在线</w:t>
      </w:r>
      <w:r>
        <w:rPr>
          <w:rFonts w:hint="eastAsia" w:ascii="宋体" w:hAnsi="宋体" w:eastAsia="宋体" w:cs="宋体"/>
          <w:color w:val="000000"/>
          <w:kern w:val="0"/>
          <w:szCs w:val="21"/>
        </w:rPr>
        <w:t>技术指导</w:t>
      </w:r>
      <w:r>
        <w:rPr>
          <w:rFonts w:hint="eastAsia" w:ascii="宋体" w:hAnsi="宋体" w:eastAsia="宋体" w:cs="宋体"/>
          <w:color w:val="000000"/>
          <w:kern w:val="0"/>
          <w:szCs w:val="21"/>
          <w:lang w:val="en-US" w:eastAsia="zh-CN"/>
        </w:rPr>
        <w:t>和</w:t>
      </w:r>
      <w:r>
        <w:rPr>
          <w:rFonts w:hint="eastAsia" w:ascii="宋体" w:hAnsi="宋体" w:eastAsia="宋体" w:cs="宋体"/>
          <w:color w:val="000000"/>
          <w:kern w:val="0"/>
          <w:szCs w:val="21"/>
        </w:rPr>
        <w:t>其它类似的义务。</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4.3投标单位资格条件</w:t>
      </w:r>
    </w:p>
    <w:p>
      <w:pPr>
        <w:spacing w:line="360" w:lineRule="auto"/>
        <w:ind w:firstLine="420" w:firstLineChars="200"/>
      </w:pPr>
      <w:r>
        <w:rPr>
          <w:rFonts w:hint="eastAsia"/>
        </w:rPr>
        <w:t xml:space="preserve">1. </w:t>
      </w:r>
      <w:r>
        <w:rPr>
          <w:rFonts w:hint="eastAsia" w:ascii="宋体" w:hAnsi="宋体" w:eastAsia="宋体" w:cs="宋体"/>
          <w:color w:val="000000"/>
          <w:kern w:val="0"/>
          <w:szCs w:val="21"/>
        </w:rPr>
        <w:t>经工商管理部门注册登记核准的年检合格的企业。</w:t>
      </w:r>
    </w:p>
    <w:p>
      <w:pPr>
        <w:spacing w:line="360" w:lineRule="auto"/>
        <w:ind w:firstLine="420" w:firstLineChars="200"/>
      </w:pPr>
      <w:r>
        <w:rPr>
          <w:rFonts w:hint="eastAsia" w:ascii="宋体" w:hAnsi="宋体" w:eastAsia="宋体" w:cs="宋体"/>
          <w:color w:val="000000"/>
          <w:kern w:val="0"/>
          <w:szCs w:val="21"/>
        </w:rPr>
        <w:t>投标人提供：营业执照扫描件、组织机构代码证扫描件、税务登记证扫描件、生产许可证、企业资质文件、产品出厂合格证。</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4.4招标要求</w:t>
      </w:r>
    </w:p>
    <w:p>
      <w:pPr>
        <w:spacing w:line="360" w:lineRule="auto"/>
        <w:ind w:firstLine="420" w:firstLineChars="200"/>
      </w:pPr>
      <w:r>
        <w:rPr>
          <w:rFonts w:ascii="Times New Roman" w:hAnsi="Times New Roman" w:cs="Times New Roman"/>
          <w:color w:val="000000"/>
          <w:szCs w:val="21"/>
        </w:rPr>
        <w:t>投标报价为</w:t>
      </w:r>
      <w:r>
        <w:rPr>
          <w:rFonts w:hint="eastAsia" w:ascii="Times New Roman" w:hAnsi="Times New Roman" w:cs="Times New Roman"/>
          <w:color w:val="000000"/>
          <w:szCs w:val="21"/>
        </w:rPr>
        <w:t>铝合金模板</w:t>
      </w:r>
      <w:r>
        <w:rPr>
          <w:rFonts w:hint="eastAsia" w:ascii="Times New Roman" w:hAnsi="Times New Roman" w:cs="Times New Roman"/>
          <w:color w:val="000000"/>
          <w:szCs w:val="21"/>
          <w:lang w:val="en-US" w:eastAsia="zh-CN"/>
        </w:rPr>
        <w:t>含税出厂人民币</w:t>
      </w:r>
      <w:r>
        <w:rPr>
          <w:rFonts w:hint="eastAsia" w:ascii="Times New Roman" w:hAnsi="Times New Roman" w:cs="Times New Roman"/>
          <w:color w:val="000000"/>
          <w:szCs w:val="21"/>
        </w:rPr>
        <w:t>报价。</w:t>
      </w:r>
      <w:r>
        <w:rPr>
          <w:rFonts w:hint="eastAsia" w:asciiTheme="minorEastAsia" w:hAnsiTheme="minorEastAsia"/>
          <w:szCs w:val="21"/>
        </w:rPr>
        <w:t>包括出厂价格、符合运输要求的包装、产品合格证、出厂报告等全部费用。</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66" w:name="_Toc21124"/>
      <w:r>
        <w:rPr>
          <w:rFonts w:hint="eastAsia"/>
          <w:sz w:val="22"/>
          <w:szCs w:val="22"/>
          <w:lang w:val="en-US" w:eastAsia="zh-CN"/>
        </w:rPr>
        <w:t>5.招标文件</w:t>
      </w:r>
      <w:bookmarkEnd w:id="66"/>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5.1招标文件的组成</w:t>
      </w:r>
    </w:p>
    <w:p>
      <w:pPr>
        <w:spacing w:line="360" w:lineRule="auto"/>
        <w:ind w:firstLine="420" w:firstLineChars="200"/>
      </w:pPr>
      <w:r>
        <w:rPr>
          <w:rFonts w:hint="eastAsia" w:asciiTheme="minorEastAsia" w:hAnsiTheme="minorEastAsia"/>
          <w:szCs w:val="21"/>
        </w:rPr>
        <w:t>“招标文件”是用以阐明所需材料及服务情况，以及招标、投标程序和相应的合同条款。“招标文件”由下述部分组成：</w:t>
      </w:r>
    </w:p>
    <w:p>
      <w:pPr>
        <w:spacing w:line="360" w:lineRule="auto"/>
        <w:ind w:firstLine="420" w:firstLineChars="200"/>
      </w:pPr>
      <w:r>
        <w:rPr>
          <w:rFonts w:hint="eastAsia" w:asciiTheme="minorEastAsia" w:hAnsiTheme="minorEastAsia"/>
          <w:szCs w:val="21"/>
        </w:rPr>
        <w:t>第一章</w:t>
      </w:r>
      <w:r>
        <w:rPr>
          <w:rFonts w:hint="eastAsia" w:asciiTheme="minorEastAsia" w:hAnsiTheme="minorEastAsia"/>
          <w:kern w:val="44"/>
          <w:szCs w:val="21"/>
        </w:rPr>
        <w:t>招标文件</w:t>
      </w:r>
      <w:r>
        <w:rPr>
          <w:rFonts w:hint="eastAsia"/>
        </w:rPr>
        <w:t>;</w:t>
      </w:r>
    </w:p>
    <w:p>
      <w:pPr>
        <w:spacing w:line="360" w:lineRule="auto"/>
        <w:ind w:firstLine="420" w:firstLineChars="200"/>
      </w:pPr>
      <w:r>
        <w:rPr>
          <w:rFonts w:hint="eastAsia" w:asciiTheme="minorEastAsia" w:hAnsiTheme="minorEastAsia"/>
          <w:szCs w:val="21"/>
        </w:rPr>
        <w:t>第二章</w:t>
      </w:r>
      <w:r>
        <w:rPr>
          <w:rFonts w:hint="eastAsia" w:asciiTheme="minorEastAsia" w:hAnsiTheme="minorEastAsia"/>
          <w:bCs/>
          <w:kern w:val="44"/>
          <w:szCs w:val="21"/>
        </w:rPr>
        <w:t>前附表及投标须知</w:t>
      </w:r>
      <w:r>
        <w:rPr>
          <w:rFonts w:hint="eastAsia"/>
        </w:rPr>
        <w:t>;</w:t>
      </w:r>
    </w:p>
    <w:p>
      <w:pPr>
        <w:spacing w:line="360" w:lineRule="auto"/>
        <w:ind w:firstLine="420" w:firstLineChars="200"/>
      </w:pPr>
      <w:r>
        <w:rPr>
          <w:rFonts w:hint="eastAsia" w:asciiTheme="minorEastAsia" w:hAnsiTheme="minorEastAsia"/>
          <w:szCs w:val="21"/>
        </w:rPr>
        <w:t>第三章招标内容与质量要求</w:t>
      </w:r>
      <w:r>
        <w:rPr>
          <w:rFonts w:hint="eastAsia"/>
        </w:rPr>
        <w:t>;</w:t>
      </w:r>
    </w:p>
    <w:p>
      <w:pPr>
        <w:spacing w:line="360" w:lineRule="auto"/>
        <w:ind w:firstLine="420" w:firstLineChars="200"/>
      </w:pPr>
      <w:r>
        <w:rPr>
          <w:rFonts w:hint="eastAsia" w:asciiTheme="minorEastAsia" w:hAnsiTheme="minorEastAsia"/>
          <w:szCs w:val="21"/>
        </w:rPr>
        <w:t>第四章采购专用合同</w:t>
      </w:r>
      <w:r>
        <w:rPr>
          <w:rFonts w:hint="eastAsia"/>
        </w:rPr>
        <w:t>;</w:t>
      </w:r>
    </w:p>
    <w:p>
      <w:pPr>
        <w:spacing w:line="360" w:lineRule="auto"/>
        <w:ind w:firstLine="420" w:firstLineChars="200"/>
      </w:pPr>
      <w:r>
        <w:rPr>
          <w:rFonts w:hint="eastAsia" w:asciiTheme="minorEastAsia" w:hAnsiTheme="minorEastAsia"/>
          <w:szCs w:val="21"/>
        </w:rPr>
        <w:t>第五章投标文件格式及附件</w:t>
      </w:r>
      <w:r>
        <w:rPr>
          <w:rFonts w:hint="eastAsia"/>
        </w:rPr>
        <w:t>.</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5.2招标文件的澄清</w:t>
      </w:r>
    </w:p>
    <w:p>
      <w:pPr>
        <w:spacing w:line="360" w:lineRule="auto"/>
        <w:ind w:firstLine="420" w:firstLineChars="200"/>
      </w:pPr>
      <w:r>
        <w:rPr>
          <w:rFonts w:hint="eastAsia" w:asciiTheme="minorEastAsia" w:hAnsiTheme="minorEastAsia"/>
          <w:szCs w:val="21"/>
        </w:rPr>
        <w:t>任何对招标文件提出澄清要求和需要答疑的有关资料，投标人应在</w:t>
      </w:r>
      <w:r>
        <w:rPr>
          <w:rFonts w:hint="eastAsia" w:asciiTheme="minorEastAsia" w:hAnsiTheme="minorEastAsia"/>
          <w:szCs w:val="21"/>
          <w:lang w:val="en-US" w:eastAsia="zh-CN"/>
        </w:rPr>
        <w:t>2021年7月14日</w:t>
      </w:r>
      <w:r>
        <w:rPr>
          <w:rFonts w:hint="eastAsia" w:asciiTheme="minorEastAsia" w:hAnsiTheme="minorEastAsia"/>
          <w:szCs w:val="21"/>
        </w:rPr>
        <w:t>前按本次邀请函上联系方式，以电子邮件形式并加盖公章发给招标单位。</w:t>
      </w:r>
    </w:p>
    <w:p>
      <w:pPr>
        <w:spacing w:line="360" w:lineRule="auto"/>
        <w:ind w:firstLine="420" w:firstLineChars="200"/>
      </w:pPr>
      <w:r>
        <w:rPr>
          <w:rFonts w:hint="eastAsia" w:asciiTheme="minorEastAsia" w:hAnsiTheme="minorEastAsia"/>
          <w:szCs w:val="21"/>
        </w:rPr>
        <w:t>招标单位将于</w:t>
      </w:r>
      <w:r>
        <w:rPr>
          <w:rFonts w:hint="eastAsia" w:asciiTheme="minorEastAsia" w:hAnsiTheme="minorEastAsia"/>
          <w:szCs w:val="21"/>
          <w:lang w:val="en-US" w:eastAsia="zh-CN"/>
        </w:rPr>
        <w:t>2021年7月14日</w:t>
      </w:r>
      <w:r>
        <w:rPr>
          <w:rFonts w:hint="eastAsia" w:asciiTheme="minorEastAsia" w:hAnsiTheme="minorEastAsia"/>
          <w:szCs w:val="21"/>
        </w:rPr>
        <w:t>前予以解答所有收到的答疑要求，所有解答的内容通过邮件形式发给所有投标人。投标人收到邮件后，必须加盖公章扫描回函确认。</w:t>
      </w:r>
    </w:p>
    <w:p>
      <w:pPr>
        <w:spacing w:line="360" w:lineRule="auto"/>
        <w:ind w:firstLine="420" w:firstLineChars="200"/>
        <w:rPr>
          <w:rFonts w:asciiTheme="minorEastAsia" w:hAnsiTheme="minorEastAsia"/>
          <w:szCs w:val="21"/>
        </w:rPr>
      </w:pPr>
      <w:r>
        <w:rPr>
          <w:rFonts w:hint="eastAsia" w:asciiTheme="minorEastAsia" w:hAnsiTheme="minorEastAsia"/>
          <w:szCs w:val="21"/>
        </w:rPr>
        <w:t>招标文件的澄清或补遗如有不一致之处，以日期在后为准。</w:t>
      </w:r>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5.3招标文件的修改</w:t>
      </w:r>
    </w:p>
    <w:p>
      <w:pPr>
        <w:spacing w:line="360" w:lineRule="auto"/>
        <w:ind w:firstLine="420" w:firstLineChars="200"/>
        <w:rPr>
          <w:rFonts w:asciiTheme="minorEastAsia" w:hAnsiTheme="minorEastAsia" w:eastAsiaTheme="minorEastAsia"/>
          <w:kern w:val="2"/>
          <w:sz w:val="21"/>
          <w:szCs w:val="21"/>
        </w:rPr>
      </w:pPr>
      <w:r>
        <w:rPr>
          <w:rFonts w:hint="eastAsia"/>
        </w:rPr>
        <w:t>1.</w:t>
      </w:r>
      <w:r>
        <w:rPr>
          <w:rFonts w:hint="eastAsia" w:asciiTheme="minorEastAsia" w:hAnsiTheme="minorEastAsia" w:eastAsiaTheme="minorEastAsia"/>
          <w:kern w:val="2"/>
          <w:sz w:val="21"/>
          <w:szCs w:val="21"/>
        </w:rPr>
        <w:t>在投标截止日至少1日前，招标人都可能会以补充通知的方式修改招标文件；</w:t>
      </w:r>
    </w:p>
    <w:p>
      <w:pPr>
        <w:spacing w:line="360" w:lineRule="auto"/>
        <w:ind w:firstLine="420" w:firstLineChars="200"/>
      </w:pPr>
      <w:r>
        <w:rPr>
          <w:rFonts w:hint="eastAsia"/>
          <w:lang w:val="en-US" w:eastAsia="zh-CN"/>
        </w:rPr>
        <w:t>2.</w:t>
      </w:r>
      <w:r>
        <w:rPr>
          <w:rFonts w:hint="eastAsia"/>
        </w:rPr>
        <w:t>补</w:t>
      </w:r>
      <w:r>
        <w:rPr>
          <w:rFonts w:hint="eastAsia" w:asciiTheme="minorEastAsia" w:hAnsiTheme="minorEastAsia"/>
          <w:szCs w:val="21"/>
        </w:rPr>
        <w:t>充通知以书面方式发给各投标人，补充通知将作为招标文件的组成部分，对双方起同等约束作用。</w:t>
      </w:r>
    </w:p>
    <w:p>
      <w:pPr>
        <w:adjustRightInd w:val="0"/>
        <w:snapToGrid w:val="0"/>
        <w:spacing w:line="360" w:lineRule="auto"/>
        <w:ind w:firstLine="420" w:firstLineChars="200"/>
      </w:pPr>
      <w:r>
        <w:rPr>
          <w:rFonts w:hint="eastAsia"/>
        </w:rPr>
        <w:t xml:space="preserve">3. </w:t>
      </w:r>
      <w:r>
        <w:rPr>
          <w:rFonts w:hint="eastAsia" w:asciiTheme="minorEastAsia" w:hAnsiTheme="minorEastAsia"/>
          <w:szCs w:val="21"/>
        </w:rPr>
        <w:t>为使投标人编制投标文件时把补充通知内容考虑进去，招标人可以酌情延长递交投标文件的截止日期。具体时间将在补充通知中写明，投标人应以书面方式确认收到并回复招标人。</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67" w:name="_Toc13757"/>
      <w:r>
        <w:rPr>
          <w:rFonts w:hint="eastAsia"/>
          <w:sz w:val="22"/>
          <w:szCs w:val="22"/>
          <w:lang w:val="en-US" w:eastAsia="zh-CN"/>
        </w:rPr>
        <w:t>6.投标</w:t>
      </w:r>
      <w:bookmarkEnd w:id="67"/>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 xml:space="preserve">6.1投标报价 </w:t>
      </w:r>
    </w:p>
    <w:p>
      <w:pPr>
        <w:spacing w:line="360" w:lineRule="auto"/>
        <w:ind w:firstLine="420" w:firstLineChars="200"/>
      </w:pPr>
      <w:r>
        <w:rPr>
          <w:rFonts w:hint="eastAsia"/>
        </w:rPr>
        <w:t xml:space="preserve">1. </w:t>
      </w:r>
      <w:r>
        <w:rPr>
          <w:rFonts w:hint="eastAsia" w:asciiTheme="minorEastAsia" w:hAnsiTheme="minorEastAsia"/>
          <w:szCs w:val="21"/>
        </w:rPr>
        <w:t>投标方应按招标文件（含补充文件）所提的要求提出投标报价。此报价同时作为招标方的评标依据。除非因招标方原因而进行要求变更或项目增减外，投标报价应为最终用户价，在整个合同执行过程中，中标单位（下称“中标人”）的合同价格不变。</w:t>
      </w:r>
    </w:p>
    <w:p>
      <w:pPr>
        <w:spacing w:line="360" w:lineRule="auto"/>
        <w:ind w:firstLine="420" w:firstLineChars="200"/>
        <w:rPr>
          <w:rFonts w:hint="eastAsia" w:asciiTheme="minorEastAsia" w:hAnsiTheme="minorEastAsia"/>
          <w:szCs w:val="21"/>
        </w:rPr>
      </w:pPr>
      <w:r>
        <w:rPr>
          <w:rFonts w:hint="eastAsia"/>
        </w:rPr>
        <w:t xml:space="preserve">2. </w:t>
      </w:r>
      <w:r>
        <w:rPr>
          <w:rFonts w:hint="eastAsia" w:asciiTheme="minorEastAsia" w:hAnsiTheme="minorEastAsia"/>
          <w:szCs w:val="21"/>
        </w:rPr>
        <w:t>投标报价方式</w:t>
      </w:r>
      <w:r>
        <w:rPr>
          <w:rFonts w:hint="eastAsia"/>
        </w:rPr>
        <w:t>:</w:t>
      </w:r>
      <w:r>
        <w:rPr>
          <w:rFonts w:hint="eastAsia"/>
          <w:lang w:val="en-US" w:eastAsia="zh-CN"/>
        </w:rPr>
        <w:t xml:space="preserve"> </w:t>
      </w:r>
      <w:r>
        <w:rPr>
          <w:rFonts w:hint="eastAsia" w:asciiTheme="minorEastAsia" w:hAnsiTheme="minorEastAsia"/>
          <w:szCs w:val="21"/>
        </w:rPr>
        <w:t>以</w:t>
      </w:r>
      <w:r>
        <w:rPr>
          <w:rFonts w:hint="eastAsia" w:asciiTheme="minorEastAsia" w:hAnsiTheme="minorEastAsia"/>
          <w:bCs/>
          <w:szCs w:val="21"/>
        </w:rPr>
        <w:t>“</w:t>
      </w:r>
      <w:r>
        <w:rPr>
          <w:rFonts w:hint="eastAsia" w:asciiTheme="minorEastAsia" w:hAnsiTheme="minorEastAsia"/>
          <w:bCs/>
          <w:szCs w:val="21"/>
          <w:lang w:val="en-US" w:eastAsia="zh-CN"/>
        </w:rPr>
        <w:t>人民币</w:t>
      </w:r>
      <w:r>
        <w:rPr>
          <w:rFonts w:hint="eastAsia" w:asciiTheme="minorEastAsia" w:hAnsiTheme="minorEastAsia"/>
          <w:bCs/>
          <w:szCs w:val="21"/>
        </w:rPr>
        <w:t>”</w:t>
      </w:r>
      <w:r>
        <w:rPr>
          <w:rFonts w:hint="eastAsia" w:asciiTheme="minorEastAsia" w:hAnsiTheme="minorEastAsia"/>
          <w:szCs w:val="21"/>
        </w:rPr>
        <w:t>为结算单位，在“招标文件”所附的“招标项目及分项报价一览表”上写明投标货物的分项投标价。</w:t>
      </w:r>
    </w:p>
    <w:p>
      <w:pPr>
        <w:spacing w:line="360" w:lineRule="auto"/>
        <w:ind w:firstLine="420" w:firstLineChars="200"/>
      </w:pPr>
      <w:r>
        <w:rPr>
          <w:rFonts w:hint="eastAsia"/>
          <w:lang w:val="en-US" w:eastAsia="zh-CN"/>
        </w:rPr>
        <w:t xml:space="preserve">3. </w:t>
      </w:r>
      <w:r>
        <w:rPr>
          <w:rFonts w:hint="eastAsia" w:asciiTheme="minorEastAsia" w:hAnsiTheme="minorEastAsia"/>
          <w:szCs w:val="21"/>
        </w:rPr>
        <w:t>投标人应保证投标文件中所列项目被授权人为合法代表人，并代表公司全权处理本次招标项目的投标、谈判、签约等具体工作。不因授权人或授权的改变而失效。</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68" w:name="_Toc21617"/>
      <w:r>
        <w:rPr>
          <w:rFonts w:hint="eastAsia"/>
          <w:sz w:val="22"/>
          <w:szCs w:val="22"/>
          <w:lang w:val="en-US" w:eastAsia="zh-CN"/>
        </w:rPr>
        <w:t>7.投标文件的编制</w:t>
      </w:r>
      <w:bookmarkEnd w:id="68"/>
    </w:p>
    <w:p>
      <w:pPr>
        <w:pStyle w:val="15"/>
        <w:keepNext w:val="0"/>
        <w:keepLines w:val="0"/>
        <w:pageBreakBefore w:val="0"/>
        <w:widowControl w:val="0"/>
        <w:kinsoku/>
        <w:wordWrap/>
        <w:overflowPunct/>
        <w:topLinePunct w:val="0"/>
        <w:autoSpaceDE/>
        <w:autoSpaceDN/>
        <w:bidi w:val="0"/>
        <w:adjustRightInd/>
        <w:snapToGrid w:val="0"/>
        <w:spacing w:before="181" w:beforeLines="50" w:after="181" w:afterLines="50" w:line="360" w:lineRule="auto"/>
        <w:textAlignment w:val="auto"/>
        <w:rPr>
          <w:rFonts w:hint="eastAsia" w:ascii="宋体" w:hAnsi="宋体" w:cs="宋体"/>
          <w:b/>
          <w:bCs/>
          <w:color w:val="000000"/>
          <w:sz w:val="22"/>
          <w:szCs w:val="22"/>
          <w:lang w:val="en-US" w:eastAsia="zh-CN"/>
        </w:rPr>
      </w:pPr>
      <w:r>
        <w:rPr>
          <w:rFonts w:hint="eastAsia" w:ascii="宋体" w:hAnsi="宋体" w:cs="宋体"/>
          <w:b/>
          <w:bCs/>
          <w:color w:val="000000"/>
          <w:sz w:val="22"/>
          <w:szCs w:val="22"/>
          <w:lang w:val="en-US" w:eastAsia="zh-CN"/>
        </w:rPr>
        <w:t xml:space="preserve">7.1投标文件的组成 </w:t>
      </w:r>
    </w:p>
    <w:p>
      <w:pPr>
        <w:spacing w:line="360" w:lineRule="auto"/>
        <w:ind w:firstLine="420" w:firstLineChars="200"/>
      </w:pPr>
      <w:r>
        <w:rPr>
          <w:rFonts w:hint="eastAsia" w:asciiTheme="minorEastAsia" w:hAnsiTheme="minorEastAsia"/>
          <w:bCs/>
          <w:kern w:val="44"/>
          <w:szCs w:val="21"/>
        </w:rPr>
        <w:t>本招标文件已提供格式的按此格式作表，没有提供格式的投标方自拟。投标文件应包括以下内容：</w:t>
      </w:r>
    </w:p>
    <w:p>
      <w:pPr>
        <w:spacing w:line="360" w:lineRule="auto"/>
        <w:ind w:firstLine="420" w:firstLineChars="200"/>
      </w:pPr>
      <w:r>
        <w:rPr>
          <w:rFonts w:hint="eastAsia"/>
        </w:rPr>
        <w:t xml:space="preserve">1. </w:t>
      </w:r>
      <w:r>
        <w:rPr>
          <w:rFonts w:hint="eastAsia" w:asciiTheme="minorEastAsia" w:hAnsiTheme="minorEastAsia"/>
          <w:szCs w:val="21"/>
        </w:rPr>
        <w:t>资格文件</w:t>
      </w:r>
      <w:r>
        <w:rPr>
          <w:rFonts w:hint="eastAsia"/>
        </w:rPr>
        <w:t>:</w:t>
      </w:r>
    </w:p>
    <w:p>
      <w:pPr>
        <w:spacing w:line="360" w:lineRule="auto"/>
        <w:ind w:firstLine="420" w:firstLineChars="200"/>
      </w:pPr>
      <w:r>
        <w:rPr>
          <w:rFonts w:hint="eastAsia" w:asciiTheme="minorEastAsia" w:hAnsiTheme="minorEastAsia"/>
          <w:bCs/>
          <w:kern w:val="44"/>
          <w:szCs w:val="21"/>
        </w:rPr>
        <w:t>投标人在提交投标文件时，须附准确和真实的资质文件。投标文件中包含的资质文件为：</w:t>
      </w:r>
    </w:p>
    <w:p>
      <w:pPr>
        <w:numPr>
          <w:ilvl w:val="0"/>
          <w:numId w:val="5"/>
        </w:numPr>
        <w:spacing w:line="360" w:lineRule="auto"/>
        <w:ind w:firstLine="420" w:firstLineChars="200"/>
        <w:rPr>
          <w:rFonts w:hint="eastAsia" w:asciiTheme="minorEastAsia" w:hAnsiTheme="minorEastAsia"/>
          <w:bCs/>
          <w:kern w:val="44"/>
          <w:szCs w:val="21"/>
        </w:rPr>
      </w:pPr>
      <w:r>
        <w:rPr>
          <w:rFonts w:hint="eastAsia" w:asciiTheme="minorEastAsia" w:hAnsiTheme="minorEastAsia"/>
          <w:bCs/>
          <w:kern w:val="44"/>
          <w:szCs w:val="21"/>
        </w:rPr>
        <w:t>企业营业执照（复印件加盖红章）</w:t>
      </w:r>
    </w:p>
    <w:p>
      <w:pPr>
        <w:numPr>
          <w:ilvl w:val="0"/>
          <w:numId w:val="5"/>
        </w:numPr>
        <w:spacing w:line="360" w:lineRule="auto"/>
        <w:ind w:firstLine="420" w:firstLineChars="200"/>
        <w:rPr>
          <w:rFonts w:hint="eastAsia" w:asciiTheme="minorEastAsia" w:hAnsiTheme="minorEastAsia"/>
          <w:bCs/>
          <w:kern w:val="44"/>
          <w:szCs w:val="21"/>
        </w:rPr>
      </w:pPr>
      <w:r>
        <w:rPr>
          <w:rFonts w:hint="eastAsia" w:asciiTheme="minorEastAsia" w:hAnsiTheme="minorEastAsia"/>
          <w:bCs/>
          <w:kern w:val="44"/>
          <w:szCs w:val="21"/>
        </w:rPr>
        <w:t>税务登记证（复印件加盖红章）</w:t>
      </w:r>
    </w:p>
    <w:p>
      <w:pPr>
        <w:numPr>
          <w:ilvl w:val="0"/>
          <w:numId w:val="5"/>
        </w:numPr>
        <w:spacing w:line="360" w:lineRule="auto"/>
        <w:ind w:firstLine="420" w:firstLineChars="200"/>
        <w:rPr>
          <w:rFonts w:hint="eastAsia" w:asciiTheme="minorEastAsia" w:hAnsiTheme="minorEastAsia"/>
          <w:bCs/>
          <w:kern w:val="44"/>
          <w:szCs w:val="21"/>
        </w:rPr>
      </w:pPr>
      <w:r>
        <w:rPr>
          <w:rFonts w:hint="eastAsia" w:asciiTheme="minorEastAsia" w:hAnsiTheme="minorEastAsia"/>
          <w:bCs/>
          <w:kern w:val="44"/>
          <w:szCs w:val="21"/>
        </w:rPr>
        <w:t>近三年的资产负债表、利润表以及投标方认为需要提供的其它资料</w:t>
      </w:r>
    </w:p>
    <w:p>
      <w:pPr>
        <w:numPr>
          <w:ilvl w:val="0"/>
          <w:numId w:val="6"/>
        </w:numPr>
        <w:spacing w:line="360" w:lineRule="auto"/>
        <w:ind w:firstLine="420" w:firstLineChars="200"/>
      </w:pPr>
      <w:r>
        <w:rPr>
          <w:rFonts w:hint="eastAsia" w:asciiTheme="minorEastAsia" w:hAnsiTheme="minorEastAsia"/>
          <w:szCs w:val="21"/>
        </w:rPr>
        <w:t>商务文件</w:t>
      </w:r>
      <w:r>
        <w:rPr>
          <w:rFonts w:hint="eastAsia" w:asciiTheme="minorEastAsia" w:hAnsiTheme="minorEastAsia"/>
          <w:szCs w:val="21"/>
          <w:lang w:eastAsia="zh-CN"/>
        </w:rPr>
        <w:t>：</w:t>
      </w:r>
    </w:p>
    <w:p>
      <w:pPr>
        <w:numPr>
          <w:ilvl w:val="0"/>
          <w:numId w:val="7"/>
        </w:numPr>
        <w:spacing w:line="360" w:lineRule="auto"/>
        <w:ind w:firstLine="420" w:firstLineChars="200"/>
        <w:rPr>
          <w:rFonts w:hint="eastAsia" w:asciiTheme="minorEastAsia" w:hAnsiTheme="minorEastAsia"/>
          <w:bCs/>
          <w:kern w:val="44"/>
          <w:szCs w:val="21"/>
        </w:rPr>
      </w:pPr>
      <w:r>
        <w:rPr>
          <w:rFonts w:hint="eastAsia" w:asciiTheme="minorEastAsia" w:hAnsiTheme="minorEastAsia"/>
          <w:bCs/>
          <w:kern w:val="44"/>
          <w:szCs w:val="21"/>
        </w:rPr>
        <w:t>投标保证书（见附件一）</w:t>
      </w:r>
    </w:p>
    <w:p>
      <w:pPr>
        <w:numPr>
          <w:ilvl w:val="0"/>
          <w:numId w:val="7"/>
        </w:numPr>
        <w:spacing w:line="360" w:lineRule="auto"/>
        <w:ind w:firstLine="420" w:firstLineChars="200"/>
        <w:rPr>
          <w:rFonts w:hint="eastAsia" w:asciiTheme="minorEastAsia" w:hAnsiTheme="minorEastAsia" w:eastAsiaTheme="minorEastAsia"/>
          <w:bCs/>
          <w:kern w:val="44"/>
          <w:sz w:val="21"/>
          <w:szCs w:val="21"/>
        </w:rPr>
      </w:pPr>
      <w:r>
        <w:rPr>
          <w:rFonts w:hint="eastAsia" w:asciiTheme="minorEastAsia" w:hAnsiTheme="minorEastAsia" w:eastAsiaTheme="minorEastAsia"/>
          <w:bCs/>
          <w:kern w:val="44"/>
          <w:sz w:val="21"/>
          <w:szCs w:val="21"/>
        </w:rPr>
        <w:t>法人代表授权书（见附件二）；</w:t>
      </w:r>
    </w:p>
    <w:p>
      <w:pPr>
        <w:numPr>
          <w:ilvl w:val="0"/>
          <w:numId w:val="7"/>
        </w:numPr>
        <w:spacing w:line="360" w:lineRule="auto"/>
        <w:ind w:left="0" w:leftChars="0" w:firstLine="420" w:firstLineChars="200"/>
        <w:rPr>
          <w:rFonts w:hint="eastAsia" w:asciiTheme="minorEastAsia" w:hAnsiTheme="minorEastAsia"/>
          <w:szCs w:val="21"/>
        </w:rPr>
      </w:pPr>
      <w:r>
        <w:rPr>
          <w:rFonts w:hint="eastAsia" w:asciiTheme="minorEastAsia" w:hAnsiTheme="minorEastAsia"/>
          <w:szCs w:val="21"/>
        </w:rPr>
        <w:t>投标分项报价单（见附件三）（报价单须按规定填写，并加盖公章及法人代表人印章，未按规定盖章、不按规定要求填写、指标未达到招标要求的和内容不全的为废标）</w:t>
      </w:r>
    </w:p>
    <w:p>
      <w:pPr>
        <w:numPr>
          <w:ilvl w:val="0"/>
          <w:numId w:val="7"/>
        </w:numPr>
        <w:spacing w:line="360" w:lineRule="auto"/>
        <w:ind w:left="0" w:leftChars="0" w:firstLine="420" w:firstLineChars="200"/>
      </w:pPr>
      <w:r>
        <w:rPr>
          <w:rFonts w:hint="eastAsia" w:asciiTheme="minorEastAsia" w:hAnsiTheme="minorEastAsia"/>
          <w:szCs w:val="21"/>
        </w:rPr>
        <w:t>关于资格的申明函（见附件四）；</w:t>
      </w:r>
    </w:p>
    <w:p>
      <w:pPr>
        <w:numPr>
          <w:ilvl w:val="0"/>
          <w:numId w:val="7"/>
        </w:numPr>
        <w:spacing w:line="360" w:lineRule="auto"/>
        <w:ind w:left="0" w:leftChars="0" w:firstLine="420" w:firstLineChars="200"/>
        <w:rPr>
          <w:rFonts w:asciiTheme="minorEastAsia" w:hAnsiTheme="minorEastAsia"/>
          <w:szCs w:val="21"/>
        </w:rPr>
      </w:pPr>
      <w:r>
        <w:rPr>
          <w:rFonts w:hint="eastAsia" w:asciiTheme="minorEastAsia" w:hAnsiTheme="minorEastAsia"/>
          <w:szCs w:val="21"/>
        </w:rPr>
        <w:t>投标方已完成的同类型业绩情况（见附件五）；</w:t>
      </w:r>
    </w:p>
    <w:p>
      <w:pPr>
        <w:numPr>
          <w:ilvl w:val="0"/>
          <w:numId w:val="7"/>
        </w:numPr>
        <w:spacing w:line="360" w:lineRule="auto"/>
        <w:ind w:left="0" w:leftChars="0" w:firstLine="420" w:firstLineChars="200"/>
      </w:pPr>
      <w:r>
        <w:rPr>
          <w:rFonts w:hint="eastAsia" w:asciiTheme="minorEastAsia" w:hAnsiTheme="minorEastAsia"/>
          <w:szCs w:val="21"/>
        </w:rPr>
        <w:t>投标主要产品性能介绍；</w:t>
      </w:r>
    </w:p>
    <w:p>
      <w:pPr>
        <w:numPr>
          <w:ilvl w:val="0"/>
          <w:numId w:val="7"/>
        </w:numPr>
        <w:spacing w:line="360" w:lineRule="auto"/>
        <w:ind w:left="0" w:leftChars="0" w:firstLine="420" w:firstLineChars="200"/>
        <w:rPr>
          <w:rFonts w:asciiTheme="minorEastAsia" w:hAnsiTheme="minorEastAsia"/>
          <w:szCs w:val="21"/>
        </w:rPr>
      </w:pPr>
      <w:r>
        <w:rPr>
          <w:rFonts w:hint="eastAsia" w:asciiTheme="minorEastAsia" w:hAnsiTheme="minorEastAsia"/>
          <w:szCs w:val="21"/>
        </w:rPr>
        <w:t>资格证明文件；</w:t>
      </w:r>
    </w:p>
    <w:p>
      <w:pPr>
        <w:numPr>
          <w:ilvl w:val="0"/>
          <w:numId w:val="7"/>
        </w:numPr>
        <w:spacing w:line="360" w:lineRule="auto"/>
        <w:ind w:left="0" w:leftChars="0" w:firstLine="420" w:firstLineChars="200"/>
        <w:rPr>
          <w:rFonts w:asciiTheme="minorEastAsia" w:hAnsiTheme="minorEastAsia"/>
          <w:szCs w:val="21"/>
        </w:rPr>
      </w:pPr>
      <w:r>
        <w:rPr>
          <w:rFonts w:hint="eastAsia" w:asciiTheme="minorEastAsia" w:hAnsiTheme="minorEastAsia"/>
          <w:szCs w:val="21"/>
        </w:rPr>
        <w:t>投标方认为需要提供的其它资料（作为附件六）。</w:t>
      </w:r>
    </w:p>
    <w:p>
      <w:pPr>
        <w:spacing w:line="360" w:lineRule="auto"/>
        <w:ind w:firstLine="420" w:firstLineChars="200"/>
        <w:rPr>
          <w:rFonts w:hint="eastAsia" w:eastAsiaTheme="minorEastAsia"/>
          <w:lang w:eastAsia="zh-CN"/>
        </w:rPr>
      </w:pPr>
      <w:r>
        <w:rPr>
          <w:rFonts w:hint="eastAsia"/>
        </w:rPr>
        <w:t xml:space="preserve">3. </w:t>
      </w:r>
      <w:r>
        <w:rPr>
          <w:rFonts w:hint="eastAsia" w:asciiTheme="minorEastAsia" w:hAnsiTheme="minorEastAsia"/>
          <w:szCs w:val="21"/>
        </w:rPr>
        <w:t>投标保证金</w:t>
      </w:r>
      <w:r>
        <w:rPr>
          <w:rFonts w:hint="eastAsia" w:asciiTheme="minorEastAsia" w:hAnsiTheme="minorEastAsia"/>
          <w:szCs w:val="21"/>
          <w:lang w:eastAsia="zh-CN"/>
        </w:rPr>
        <w:t>：</w:t>
      </w:r>
    </w:p>
    <w:p>
      <w:pPr>
        <w:spacing w:line="360" w:lineRule="auto"/>
        <w:ind w:firstLine="420" w:firstLineChars="200"/>
        <w:rPr>
          <w:rFonts w:asciiTheme="minorEastAsia" w:hAnsiTheme="minorEastAsia"/>
          <w:szCs w:val="21"/>
        </w:rPr>
      </w:pPr>
      <w:r>
        <w:rPr>
          <w:rFonts w:hint="eastAsia"/>
        </w:rPr>
        <w:t>(</w:t>
      </w:r>
      <w:r>
        <w:t>a</w:t>
      </w:r>
      <w:r>
        <w:rPr>
          <w:rFonts w:hint="eastAsia"/>
        </w:rPr>
        <w:t>)</w:t>
      </w:r>
      <w:r>
        <w:rPr>
          <w:rFonts w:hint="eastAsia" w:asciiTheme="minorEastAsia" w:hAnsiTheme="minorEastAsia"/>
          <w:szCs w:val="21"/>
        </w:rPr>
        <w:t>本次投标由于</w:t>
      </w:r>
      <w:r>
        <w:rPr>
          <w:rFonts w:hint="eastAsia" w:asciiTheme="minorEastAsia" w:hAnsiTheme="minorEastAsia"/>
          <w:bCs/>
          <w:kern w:val="44"/>
          <w:szCs w:val="21"/>
        </w:rPr>
        <w:t>时间紧，开标时不</w:t>
      </w:r>
      <w:r>
        <w:rPr>
          <w:rFonts w:hint="eastAsia" w:asciiTheme="minorEastAsia" w:hAnsiTheme="minorEastAsia"/>
          <w:szCs w:val="21"/>
        </w:rPr>
        <w:t>用提交保证金。</w:t>
      </w:r>
    </w:p>
    <w:p>
      <w:pPr>
        <w:spacing w:line="360" w:lineRule="auto"/>
        <w:ind w:firstLine="420" w:firstLineChars="200"/>
      </w:pPr>
      <w:r>
        <w:rPr>
          <w:rFonts w:hint="eastAsia"/>
        </w:rPr>
        <w:t>(</w:t>
      </w:r>
      <w:r>
        <w:rPr>
          <w:rFonts w:hint="eastAsia"/>
          <w:lang w:val="en-US" w:eastAsia="zh-CN"/>
        </w:rPr>
        <w:t>b</w:t>
      </w:r>
      <w:r>
        <w:rPr>
          <w:rFonts w:hint="eastAsia"/>
        </w:rPr>
        <w:t>) 如投标人有下列任何情况发生时，作为废标处理:</w:t>
      </w:r>
    </w:p>
    <w:p>
      <w:pPr>
        <w:spacing w:line="360" w:lineRule="auto"/>
        <w:ind w:firstLine="420" w:firstLineChars="200"/>
      </w:pPr>
      <w:r>
        <w:fldChar w:fldCharType="begin"/>
      </w:r>
      <w:r>
        <w:instrText xml:space="preserve"> </w:instrText>
      </w:r>
      <w:r>
        <w:rPr>
          <w:rFonts w:hint="eastAsia"/>
        </w:rPr>
        <w:instrText xml:space="preserve">= 1 \* roman</w:instrText>
      </w:r>
      <w:r>
        <w:instrText xml:space="preserve"> </w:instrText>
      </w:r>
      <w:r>
        <w:fldChar w:fldCharType="separate"/>
      </w:r>
      <w:r>
        <w:t>i</w:t>
      </w:r>
      <w:r>
        <w:fldChar w:fldCharType="end"/>
      </w:r>
      <w:r>
        <w:rPr>
          <w:rFonts w:hint="eastAsia"/>
        </w:rPr>
        <w:t xml:space="preserve"> </w:t>
      </w:r>
      <w:r>
        <w:rPr>
          <w:rFonts w:hint="eastAsia" w:asciiTheme="minorEastAsia" w:hAnsiTheme="minorEastAsia"/>
          <w:szCs w:val="21"/>
        </w:rPr>
        <w:t>投标方在投标有效期内撤回其投标文件</w:t>
      </w:r>
    </w:p>
    <w:p>
      <w:pPr>
        <w:spacing w:line="360" w:lineRule="auto"/>
        <w:ind w:firstLine="420" w:firstLineChars="200"/>
      </w:pPr>
      <w:r>
        <w:fldChar w:fldCharType="begin"/>
      </w:r>
      <w:r>
        <w:instrText xml:space="preserve"> </w:instrText>
      </w:r>
      <w:r>
        <w:rPr>
          <w:rFonts w:hint="eastAsia"/>
        </w:rPr>
        <w:instrText xml:space="preserve">= 2 \* roman</w:instrText>
      </w:r>
      <w:r>
        <w:instrText xml:space="preserve"> </w:instrText>
      </w:r>
      <w:r>
        <w:fldChar w:fldCharType="separate"/>
      </w:r>
      <w:r>
        <w:t>ii</w:t>
      </w:r>
      <w:r>
        <w:fldChar w:fldCharType="end"/>
      </w:r>
      <w:r>
        <w:rPr>
          <w:rFonts w:hint="eastAsia" w:asciiTheme="minorEastAsia" w:hAnsiTheme="minorEastAsia"/>
          <w:szCs w:val="21"/>
        </w:rPr>
        <w:t>中标方拒绝按规定与招标方签订合同协议。</w:t>
      </w:r>
    </w:p>
    <w:p>
      <w:pPr>
        <w:numPr>
          <w:ilvl w:val="0"/>
          <w:numId w:val="0"/>
        </w:numPr>
        <w:spacing w:line="360" w:lineRule="auto"/>
        <w:ind w:leftChars="200"/>
      </w:pPr>
      <w:r>
        <w:rPr>
          <w:rFonts w:hint="eastAsia"/>
          <w:lang w:val="en-US" w:eastAsia="zh-CN"/>
        </w:rPr>
        <w:t>4.</w:t>
      </w:r>
      <w:r>
        <w:rPr>
          <w:rFonts w:hint="eastAsia"/>
        </w:rPr>
        <w:t xml:space="preserve"> </w:t>
      </w:r>
      <w:r>
        <w:rPr>
          <w:rFonts w:hint="eastAsia" w:asciiTheme="minorEastAsia" w:hAnsiTheme="minorEastAsia"/>
          <w:bCs/>
          <w:kern w:val="44"/>
          <w:szCs w:val="21"/>
        </w:rPr>
        <w:t>投标有效期</w:t>
      </w:r>
    </w:p>
    <w:p>
      <w:pPr>
        <w:spacing w:line="360" w:lineRule="auto"/>
        <w:ind w:firstLine="420" w:firstLineChars="200"/>
      </w:pPr>
      <w:r>
        <w:rPr>
          <w:rFonts w:hint="eastAsia" w:asciiTheme="minorEastAsia" w:hAnsiTheme="minorEastAsia"/>
          <w:szCs w:val="21"/>
        </w:rPr>
        <w:t>投标文件应在投标截止期后开始生效，并应在投标方须知前附表第</w:t>
      </w:r>
      <w:r>
        <w:rPr>
          <w:rFonts w:hint="eastAsia" w:asciiTheme="minorEastAsia" w:hAnsiTheme="minorEastAsia"/>
          <w:szCs w:val="21"/>
          <w:lang w:val="en-US" w:eastAsia="zh-CN"/>
        </w:rPr>
        <w:t>9</w:t>
      </w:r>
      <w:r>
        <w:rPr>
          <w:rFonts w:hint="eastAsia" w:asciiTheme="minorEastAsia" w:hAnsiTheme="minorEastAsia"/>
          <w:szCs w:val="21"/>
        </w:rPr>
        <w:t>项规定的日历天数内保持有效；</w:t>
      </w:r>
    </w:p>
    <w:p>
      <w:pPr>
        <w:spacing w:line="360" w:lineRule="auto"/>
        <w:ind w:firstLine="420" w:firstLineChars="200"/>
      </w:pPr>
      <w:r>
        <w:rPr>
          <w:rFonts w:hint="eastAsia" w:asciiTheme="minorEastAsia" w:hAnsiTheme="minorEastAsia"/>
          <w:szCs w:val="21"/>
        </w:rPr>
        <w:t>如果出现特殊情况，招标人可要求投标方将投标有效期延长一段时间，这种要求和投标方的答复以书面形式进行，投标方可以拒绝这种要求，但作为废标处理。</w:t>
      </w:r>
    </w:p>
    <w:p>
      <w:pPr>
        <w:numPr>
          <w:ilvl w:val="0"/>
          <w:numId w:val="0"/>
        </w:numPr>
        <w:spacing w:line="360" w:lineRule="auto"/>
        <w:ind w:leftChars="200"/>
      </w:pPr>
      <w:r>
        <w:rPr>
          <w:rFonts w:hint="eastAsia"/>
          <w:lang w:val="en-US" w:eastAsia="zh-CN"/>
        </w:rPr>
        <w:t>5.</w:t>
      </w:r>
      <w:r>
        <w:rPr>
          <w:rFonts w:hint="eastAsia"/>
        </w:rPr>
        <w:t>投标文件的份数和签署</w:t>
      </w:r>
    </w:p>
    <w:p>
      <w:pPr>
        <w:spacing w:line="360" w:lineRule="auto"/>
        <w:ind w:firstLine="420" w:firstLineChars="200"/>
      </w:pPr>
      <w:r>
        <w:rPr>
          <w:rFonts w:hint="eastAsia" w:asciiTheme="minorEastAsia" w:hAnsiTheme="minorEastAsia"/>
          <w:szCs w:val="21"/>
        </w:rPr>
        <w:t>投标方应按本投标须知规定编制投标文件，要求如下：</w:t>
      </w:r>
      <w:r>
        <w:rPr>
          <w:rFonts w:hint="eastAsia"/>
        </w:rPr>
        <w:t xml:space="preserve"> </w:t>
      </w:r>
    </w:p>
    <w:p>
      <w:pPr>
        <w:spacing w:line="360" w:lineRule="auto"/>
        <w:ind w:firstLine="420" w:firstLineChars="200"/>
      </w:pPr>
      <w:r>
        <w:rPr>
          <w:rFonts w:hint="eastAsia"/>
        </w:rPr>
        <w:t>正本：电子版壹份</w:t>
      </w:r>
      <w:r>
        <w:rPr>
          <w:rFonts w:hint="eastAsia"/>
          <w:lang w:eastAsia="zh-CN"/>
        </w:rPr>
        <w:t>、</w:t>
      </w:r>
      <w:r>
        <w:rPr>
          <w:rFonts w:hint="eastAsia" w:ascii="宋体" w:hAnsi="宋体" w:cs="宋体"/>
          <w:color w:val="000000"/>
          <w:kern w:val="0"/>
          <w:szCs w:val="21"/>
          <w:lang w:val="en-US" w:eastAsia="zh-CN"/>
        </w:rPr>
        <w:t>纸质密封版壹份</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69" w:name="_Toc3948"/>
      <w:r>
        <w:rPr>
          <w:rFonts w:hint="eastAsia"/>
          <w:sz w:val="22"/>
          <w:szCs w:val="22"/>
          <w:lang w:val="en-US" w:eastAsia="zh-CN"/>
        </w:rPr>
        <w:t>8.投标文件的递交</w:t>
      </w:r>
      <w:bookmarkEnd w:id="69"/>
    </w:p>
    <w:p>
      <w:pPr>
        <w:spacing w:line="360" w:lineRule="auto"/>
        <w:ind w:firstLine="420" w:firstLineChars="200"/>
      </w:pPr>
      <w:r>
        <w:rPr>
          <w:rFonts w:hint="eastAsia" w:asciiTheme="minorEastAsia" w:hAnsiTheme="minorEastAsia"/>
          <w:bCs/>
          <w:kern w:val="44"/>
          <w:szCs w:val="21"/>
        </w:rPr>
        <w:t>投标文件必须在标书约定时间前</w:t>
      </w:r>
      <w:r>
        <w:rPr>
          <w:rFonts w:hint="eastAsia" w:asciiTheme="minorEastAsia" w:hAnsiTheme="minorEastAsia"/>
          <w:bCs/>
          <w:kern w:val="44"/>
          <w:szCs w:val="21"/>
          <w:lang w:val="en-US" w:eastAsia="zh-CN"/>
        </w:rPr>
        <w:t>发送至指定邮箱</w:t>
      </w:r>
      <w:r>
        <w:rPr>
          <w:rFonts w:hint="eastAsia" w:asciiTheme="minorEastAsia" w:hAnsiTheme="minorEastAsia"/>
          <w:bCs/>
          <w:kern w:val="44"/>
          <w:szCs w:val="21"/>
        </w:rPr>
        <w:t>。</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0" w:name="_Toc2218"/>
      <w:r>
        <w:rPr>
          <w:rFonts w:hint="eastAsia"/>
          <w:sz w:val="22"/>
          <w:szCs w:val="22"/>
          <w:lang w:val="en-US" w:eastAsia="zh-CN"/>
        </w:rPr>
        <w:t>9.开标</w:t>
      </w:r>
      <w:bookmarkEnd w:id="70"/>
    </w:p>
    <w:p>
      <w:pPr>
        <w:numPr>
          <w:ilvl w:val="0"/>
          <w:numId w:val="0"/>
        </w:numPr>
        <w:adjustRightInd w:val="0"/>
        <w:snapToGrid w:val="0"/>
        <w:spacing w:line="360" w:lineRule="auto"/>
        <w:ind w:leftChars="200"/>
      </w:pPr>
      <w:r>
        <w:rPr>
          <w:rFonts w:hint="eastAsia" w:asciiTheme="minorEastAsia" w:hAnsiTheme="minorEastAsia"/>
          <w:szCs w:val="21"/>
        </w:rPr>
        <w:t>开标会将在</w:t>
      </w:r>
      <w:r>
        <w:rPr>
          <w:rFonts w:hint="eastAsia" w:ascii="宋体" w:hAnsi="宋体" w:cs="宋体" w:eastAsiaTheme="minorEastAsia"/>
          <w:color w:val="000000"/>
          <w:kern w:val="0"/>
          <w:sz w:val="21"/>
          <w:szCs w:val="21"/>
          <w:lang w:val="en-US" w:eastAsia="zh-CN" w:bidi="ar-SA"/>
        </w:rPr>
        <w:t>中武（福建）跨境电子商务有限责任公司（福州市鼓楼区东街33号武夷中心15层）</w:t>
      </w:r>
      <w:r>
        <w:rPr>
          <w:rFonts w:hint="eastAsia" w:asciiTheme="minorEastAsia" w:hAnsiTheme="minorEastAsia"/>
          <w:szCs w:val="21"/>
        </w:rPr>
        <w:t>召开，接受有关部门现场监督。</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1" w:name="_Toc4110"/>
      <w:r>
        <w:rPr>
          <w:rFonts w:hint="eastAsia"/>
          <w:sz w:val="22"/>
          <w:szCs w:val="22"/>
          <w:lang w:val="en-US" w:eastAsia="zh-CN"/>
        </w:rPr>
        <w:t>10.评标</w:t>
      </w:r>
      <w:bookmarkEnd w:id="71"/>
    </w:p>
    <w:p>
      <w:pPr>
        <w:spacing w:line="360" w:lineRule="auto"/>
        <w:ind w:firstLine="420" w:firstLineChars="200"/>
      </w:pPr>
      <w:r>
        <w:rPr>
          <w:rFonts w:hint="eastAsia" w:asciiTheme="minorEastAsia" w:hAnsiTheme="minorEastAsia"/>
          <w:szCs w:val="21"/>
          <w:lang w:val="en-US" w:eastAsia="zh-CN"/>
        </w:rPr>
        <w:t>评</w:t>
      </w:r>
      <w:r>
        <w:rPr>
          <w:rFonts w:hint="eastAsia" w:asciiTheme="minorEastAsia" w:hAnsiTheme="minorEastAsia"/>
          <w:szCs w:val="21"/>
        </w:rPr>
        <w:t>标会将在</w:t>
      </w:r>
      <w:r>
        <w:rPr>
          <w:rFonts w:hint="eastAsia" w:ascii="宋体" w:hAnsi="宋体" w:cs="宋体" w:eastAsiaTheme="minorEastAsia"/>
          <w:color w:val="000000"/>
          <w:kern w:val="0"/>
          <w:sz w:val="21"/>
          <w:szCs w:val="21"/>
          <w:lang w:val="en-US" w:eastAsia="zh-CN" w:bidi="ar-SA"/>
        </w:rPr>
        <w:t>中武（福建）跨境电子商务有限责任公司（福州市鼓楼区东街33号武夷中心15层）</w:t>
      </w:r>
      <w:r>
        <w:rPr>
          <w:rFonts w:hint="eastAsia" w:asciiTheme="minorEastAsia" w:hAnsiTheme="minorEastAsia"/>
          <w:szCs w:val="21"/>
        </w:rPr>
        <w:t>召开，接受有关部门现场监督。</w:t>
      </w:r>
    </w:p>
    <w:tbl>
      <w:tblPr>
        <w:tblStyle w:val="16"/>
        <w:tblW w:w="9113" w:type="dxa"/>
        <w:tblInd w:w="0" w:type="dxa"/>
        <w:tblLayout w:type="fixed"/>
        <w:tblCellMar>
          <w:top w:w="15" w:type="dxa"/>
          <w:left w:w="15" w:type="dxa"/>
          <w:bottom w:w="15" w:type="dxa"/>
          <w:right w:w="15" w:type="dxa"/>
        </w:tblCellMar>
      </w:tblPr>
      <w:tblGrid>
        <w:gridCol w:w="3509"/>
        <w:gridCol w:w="5604"/>
      </w:tblGrid>
      <w:tr>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pPr>
            <w:r>
              <w:rPr>
                <w:rFonts w:hint="eastAsia" w:asciiTheme="minorEastAsia" w:hAnsiTheme="minorEastAsia"/>
                <w:szCs w:val="21"/>
              </w:rPr>
              <w:t>评标细则</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pPr>
            <w:r>
              <w:rPr>
                <w:rFonts w:hint="eastAsia" w:asciiTheme="minorEastAsia" w:hAnsiTheme="minorEastAsia"/>
                <w:szCs w:val="21"/>
              </w:rPr>
              <w:t>备注</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default" w:ascii="微软雅黑" w:hAnsi="微软雅黑" w:eastAsia="微软雅黑" w:cs="微软雅黑"/>
                <w:color w:val="333333"/>
                <w:sz w:val="20"/>
                <w:szCs w:val="20"/>
                <w:lang w:val="en-US" w:eastAsia="zh-CN" w:bidi="ar-SA"/>
              </w:rPr>
            </w:pPr>
            <w:r>
              <w:rPr>
                <w:rFonts w:hint="eastAsia" w:asciiTheme="minorEastAsia" w:hAnsiTheme="minorEastAsia" w:eastAsiaTheme="minorEastAsia" w:cstheme="minorBidi"/>
                <w:kern w:val="2"/>
                <w:sz w:val="21"/>
                <w:szCs w:val="21"/>
                <w:highlight w:val="none"/>
                <w:lang w:val="en-US" w:eastAsia="zh-CN" w:bidi="ar-SA"/>
              </w:rPr>
              <w:t>产品技术标准（10分）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rPr>
            </w:pPr>
            <w:r>
              <w:rPr>
                <w:rFonts w:hint="eastAsia"/>
              </w:rPr>
              <w:t>（1）《铝合金建筑型材》GB/T5237；</w:t>
            </w:r>
          </w:p>
          <w:p>
            <w:pPr>
              <w:spacing w:line="360" w:lineRule="auto"/>
              <w:ind w:firstLine="420" w:firstLineChars="200"/>
              <w:rPr>
                <w:rFonts w:hint="eastAsia"/>
              </w:rPr>
            </w:pPr>
            <w:r>
              <w:rPr>
                <w:rFonts w:hint="eastAsia"/>
              </w:rPr>
              <w:t>（2）《一般工业用铝及铝合金挤压型材》GB/T6892；</w:t>
            </w:r>
          </w:p>
          <w:p>
            <w:pPr>
              <w:spacing w:line="360" w:lineRule="auto"/>
              <w:ind w:firstLine="420" w:firstLineChars="200"/>
              <w:rPr>
                <w:rFonts w:hint="eastAsia"/>
              </w:rPr>
            </w:pPr>
            <w:r>
              <w:rPr>
                <w:rFonts w:hint="eastAsia"/>
              </w:rPr>
              <w:t>（3）《变形铝及铝合金化学成份》GB/T3190；</w:t>
            </w:r>
          </w:p>
          <w:p>
            <w:pPr>
              <w:spacing w:line="360" w:lineRule="auto"/>
              <w:ind w:firstLine="420" w:firstLineChars="200"/>
              <w:rPr>
                <w:rFonts w:hint="eastAsia"/>
              </w:rPr>
            </w:pPr>
            <w:r>
              <w:rPr>
                <w:rFonts w:hint="eastAsia"/>
              </w:rPr>
              <w:t>（4）《建筑模数协调标准》GB/T50002-2013；</w:t>
            </w:r>
          </w:p>
          <w:p>
            <w:pPr>
              <w:spacing w:line="360" w:lineRule="auto"/>
              <w:ind w:firstLine="420" w:firstLineChars="200"/>
              <w:rPr>
                <w:rFonts w:hint="eastAsia"/>
              </w:rPr>
            </w:pPr>
            <w:r>
              <w:rPr>
                <w:rFonts w:hint="eastAsia"/>
              </w:rPr>
              <w:t>（5）《铝合金模板》JG/T522-2017；</w:t>
            </w:r>
          </w:p>
          <w:p>
            <w:pPr>
              <w:spacing w:line="360" w:lineRule="auto"/>
              <w:ind w:firstLine="420" w:firstLineChars="200"/>
              <w:rPr>
                <w:rFonts w:hint="eastAsia"/>
              </w:rPr>
            </w:pPr>
            <w:r>
              <w:rPr>
                <w:rFonts w:hint="eastAsia"/>
              </w:rPr>
              <w:t>（6）《铝合金结构设计规范》GB50429；</w:t>
            </w:r>
          </w:p>
          <w:p>
            <w:pPr>
              <w:spacing w:line="360" w:lineRule="auto"/>
              <w:ind w:firstLine="420" w:firstLineChars="200"/>
              <w:rPr>
                <w:rFonts w:hint="eastAsia"/>
              </w:rPr>
            </w:pPr>
            <w:r>
              <w:rPr>
                <w:rFonts w:hint="eastAsia"/>
              </w:rPr>
              <w:t>（7）《组合铝合金模板工程技术规程》JGJ386-2016；</w:t>
            </w:r>
          </w:p>
          <w:p>
            <w:pPr>
              <w:spacing w:line="360" w:lineRule="auto"/>
              <w:ind w:firstLine="420" w:firstLineChars="200"/>
              <w:rPr>
                <w:rFonts w:hint="eastAsia"/>
              </w:rPr>
            </w:pPr>
            <w:r>
              <w:rPr>
                <w:rFonts w:hint="eastAsia"/>
              </w:rPr>
              <w:t>（8）《建筑施工模板安全技术规程》JGJ162；</w:t>
            </w:r>
          </w:p>
          <w:p>
            <w:pPr>
              <w:spacing w:line="360" w:lineRule="auto"/>
              <w:ind w:firstLine="420" w:firstLineChars="200"/>
              <w:rPr>
                <w:rFonts w:hint="eastAsia"/>
              </w:rPr>
            </w:pPr>
            <w:r>
              <w:rPr>
                <w:rFonts w:hint="eastAsia"/>
              </w:rPr>
              <w:t>（9）《混凝土结构工程施工质量验收规范》GB50204-2015</w:t>
            </w:r>
          </w:p>
          <w:p>
            <w:pPr>
              <w:spacing w:line="360" w:lineRule="auto"/>
              <w:ind w:firstLine="420" w:firstLineChars="200"/>
              <w:rPr>
                <w:rFonts w:hint="eastAsia"/>
                <w:lang w:val="en-US" w:eastAsia="zh-CN"/>
              </w:rPr>
            </w:pPr>
            <w:r>
              <w:rPr>
                <w:rFonts w:hint="eastAsia"/>
                <w:lang w:val="en-US" w:eastAsia="zh-CN"/>
              </w:rPr>
              <w:t xml:space="preserve">（10）铝合金模板材质要求：满足国家标准GB/T 6892要求的AL6061-T6铝合金材料 </w:t>
            </w:r>
          </w:p>
          <w:p>
            <w:pPr>
              <w:pStyle w:val="31"/>
              <w:jc w:val="left"/>
              <w:rPr>
                <w:rFonts w:hint="eastAsia" w:ascii="微软雅黑" w:hAnsi="微软雅黑" w:eastAsia="微软雅黑" w:cs="微软雅黑"/>
                <w:color w:val="333333"/>
                <w:sz w:val="20"/>
                <w:szCs w:val="20"/>
                <w:lang w:bidi="ar-SA"/>
              </w:rPr>
            </w:pPr>
            <w:r>
              <w:rPr>
                <w:rFonts w:hint="eastAsia" w:asciiTheme="minorHAnsi" w:hAnsiTheme="minorHAnsi" w:eastAsiaTheme="minorEastAsia" w:cstheme="minorBidi"/>
                <w:kern w:val="2"/>
                <w:sz w:val="21"/>
                <w:szCs w:val="24"/>
                <w:lang w:val="en-US" w:eastAsia="zh-CN" w:bidi="ar-SA"/>
              </w:rPr>
              <w:t>详细参数见附件七</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default" w:asciiTheme="minorEastAsia" w:hAnsiTheme="minorEastAsia" w:eastAsiaTheme="minorEastAsia" w:cstheme="minorBidi"/>
                <w:kern w:val="2"/>
                <w:sz w:val="21"/>
                <w:szCs w:val="21"/>
                <w:highlight w:val="none"/>
                <w:lang w:val="en-US" w:eastAsia="zh-CN" w:bidi="ar-SA"/>
              </w:rPr>
            </w:pPr>
            <w:r>
              <w:rPr>
                <w:rFonts w:hint="eastAsia" w:asciiTheme="minorEastAsia" w:hAnsiTheme="minorEastAsia" w:eastAsiaTheme="minorEastAsia" w:cstheme="minorBidi"/>
                <w:kern w:val="2"/>
                <w:sz w:val="21"/>
                <w:szCs w:val="21"/>
                <w:highlight w:val="none"/>
                <w:lang w:val="en-US" w:eastAsia="zh-CN" w:bidi="ar-SA"/>
              </w:rPr>
              <w:t>技术服务（6分）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rPr>
            </w:pPr>
            <w:r>
              <w:rPr>
                <w:rFonts w:hint="eastAsia"/>
                <w:highlight w:val="none"/>
              </w:rPr>
              <w:t>根据投标人的技术服务措施进行评价</w:t>
            </w:r>
            <w:r>
              <w:rPr>
                <w:rFonts w:hint="eastAsia"/>
                <w:highlight w:val="none"/>
                <w:lang w:eastAsia="zh-CN"/>
              </w:rPr>
              <w:t>。</w:t>
            </w:r>
            <w:r>
              <w:rPr>
                <w:rFonts w:hint="eastAsia"/>
                <w:highlight w:val="none"/>
                <w:lang w:val="en-US" w:eastAsia="zh-CN"/>
              </w:rPr>
              <w:t>投标人需提供安装VR，投标人</w:t>
            </w:r>
            <w:r>
              <w:rPr>
                <w:rFonts w:hint="eastAsia"/>
                <w:highlight w:val="none"/>
                <w:lang w:eastAsia="zh-CN"/>
              </w:rPr>
              <w:t>负责</w:t>
            </w:r>
            <w:r>
              <w:rPr>
                <w:rFonts w:hint="eastAsia"/>
                <w:highlight w:val="none"/>
                <w:lang w:val="en-US" w:eastAsia="zh-CN"/>
              </w:rPr>
              <w:t>项目</w:t>
            </w:r>
            <w:r>
              <w:rPr>
                <w:rFonts w:hint="eastAsia"/>
                <w:highlight w:val="none"/>
                <w:lang w:eastAsia="zh-CN"/>
              </w:rPr>
              <w:t>现场安装技术指导，</w:t>
            </w:r>
            <w:r>
              <w:rPr>
                <w:rFonts w:hint="eastAsia"/>
                <w:highlight w:val="none"/>
                <w:lang w:val="en-US" w:eastAsia="zh-CN"/>
              </w:rPr>
              <w:t>菲律宾分公司</w:t>
            </w:r>
            <w:r>
              <w:rPr>
                <w:rFonts w:hint="eastAsia"/>
                <w:highlight w:val="none"/>
                <w:lang w:eastAsia="zh-CN"/>
              </w:rPr>
              <w:t>配合</w:t>
            </w:r>
            <w:r>
              <w:rPr>
                <w:rFonts w:hint="eastAsia"/>
                <w:highlight w:val="none"/>
                <w:lang w:val="en-US" w:eastAsia="zh-CN"/>
              </w:rPr>
              <w:t>投标人</w:t>
            </w:r>
            <w:r>
              <w:rPr>
                <w:rFonts w:hint="eastAsia"/>
                <w:highlight w:val="none"/>
                <w:lang w:eastAsia="zh-CN"/>
              </w:rPr>
              <w:t>组织安装人员进行安装，技术人员来往国际机票和技术人员在</w:t>
            </w:r>
            <w:r>
              <w:rPr>
                <w:rFonts w:hint="eastAsia"/>
                <w:highlight w:val="none"/>
                <w:lang w:val="en-US" w:eastAsia="zh-CN"/>
              </w:rPr>
              <w:t>菲律宾</w:t>
            </w:r>
            <w:r>
              <w:rPr>
                <w:rFonts w:hint="eastAsia"/>
                <w:highlight w:val="none"/>
                <w:lang w:eastAsia="zh-CN"/>
              </w:rPr>
              <w:t>的住宿、饮食及交通由</w:t>
            </w:r>
            <w:r>
              <w:rPr>
                <w:rFonts w:hint="eastAsia"/>
                <w:highlight w:val="none"/>
                <w:lang w:val="en-US" w:eastAsia="zh-CN"/>
              </w:rPr>
              <w:t>菲律宾分公司</w:t>
            </w:r>
            <w:r>
              <w:rPr>
                <w:rFonts w:hint="eastAsia"/>
                <w:highlight w:val="none"/>
                <w:lang w:eastAsia="zh-CN"/>
              </w:rPr>
              <w:t>承担，薪资及各项补贴由</w:t>
            </w:r>
            <w:r>
              <w:rPr>
                <w:rFonts w:hint="eastAsia"/>
                <w:highlight w:val="none"/>
                <w:lang w:val="en-US" w:eastAsia="zh-CN"/>
              </w:rPr>
              <w:t>投标人</w:t>
            </w:r>
            <w:r>
              <w:rPr>
                <w:rFonts w:hint="eastAsia"/>
                <w:highlight w:val="none"/>
                <w:lang w:eastAsia="zh-CN"/>
              </w:rPr>
              <w:t>承担，</w:t>
            </w:r>
            <w:r>
              <w:rPr>
                <w:rFonts w:hint="eastAsia"/>
                <w:highlight w:val="none"/>
                <w:lang w:val="en-US" w:eastAsia="zh-CN"/>
              </w:rPr>
              <w:t>为期两个月，</w:t>
            </w:r>
            <w:r>
              <w:rPr>
                <w:rFonts w:hint="eastAsia"/>
                <w:highlight w:val="none"/>
                <w:lang w:eastAsia="zh-CN"/>
              </w:rPr>
              <w:t>签证由</w:t>
            </w:r>
            <w:r>
              <w:rPr>
                <w:rFonts w:hint="eastAsia"/>
                <w:highlight w:val="none"/>
                <w:lang w:val="en-US" w:eastAsia="zh-CN"/>
              </w:rPr>
              <w:t>菲律宾分公司</w:t>
            </w:r>
            <w:r>
              <w:rPr>
                <w:rFonts w:hint="eastAsia"/>
                <w:highlight w:val="none"/>
                <w:lang w:eastAsia="zh-CN"/>
              </w:rPr>
              <w:t>提供必要协助</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default" w:asciiTheme="minorEastAsia" w:hAnsiTheme="minorEastAsia" w:eastAsiaTheme="minorEastAsia" w:cstheme="minorBidi"/>
                <w:kern w:val="2"/>
                <w:sz w:val="21"/>
                <w:szCs w:val="21"/>
                <w:highlight w:val="none"/>
                <w:lang w:val="en-US" w:eastAsia="zh-CN" w:bidi="ar-SA"/>
              </w:rPr>
            </w:pPr>
            <w:r>
              <w:rPr>
                <w:rFonts w:hint="eastAsia" w:asciiTheme="minorEastAsia" w:hAnsiTheme="minorEastAsia" w:eastAsiaTheme="minorEastAsia" w:cstheme="minorBidi"/>
                <w:kern w:val="2"/>
                <w:sz w:val="21"/>
                <w:szCs w:val="21"/>
                <w:highlight w:val="none"/>
                <w:lang w:val="en-US" w:eastAsia="zh-CN" w:bidi="ar-SA"/>
              </w:rPr>
              <w:t>生产设备（供应能力） （6分）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rPr>
            </w:pPr>
            <w:r>
              <w:rPr>
                <w:rFonts w:hint="eastAsia"/>
              </w:rPr>
              <w:t>厂家须承诺能用于本项目的生产设备及数量数量，并提供生产设备图片及型号规格品牌。</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default" w:asciiTheme="minorEastAsia" w:hAnsiTheme="minorEastAsia" w:eastAsiaTheme="minorEastAsia" w:cstheme="minorBidi"/>
                <w:kern w:val="2"/>
                <w:sz w:val="21"/>
                <w:szCs w:val="21"/>
                <w:highlight w:val="none"/>
                <w:lang w:val="en-US" w:eastAsia="zh-CN" w:bidi="ar-SA"/>
              </w:rPr>
            </w:pPr>
            <w:r>
              <w:rPr>
                <w:rFonts w:hint="eastAsia" w:asciiTheme="minorEastAsia" w:hAnsiTheme="minorEastAsia" w:eastAsiaTheme="minorEastAsia" w:cstheme="minorBidi"/>
                <w:kern w:val="2"/>
                <w:sz w:val="21"/>
                <w:szCs w:val="21"/>
                <w:highlight w:val="none"/>
                <w:lang w:val="en-US" w:eastAsia="zh-CN" w:bidi="ar-SA"/>
              </w:rPr>
              <w:t>成品保护和出口包装 （6分）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rPr>
            </w:pPr>
            <w:r>
              <w:rPr>
                <w:rFonts w:hint="eastAsia"/>
              </w:rPr>
              <w:t xml:space="preserve">有成品保护措施和出口包装方案，且可行合理。 </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eastAsia" w:asciiTheme="minorEastAsia" w:hAnsiTheme="minorEastAsia" w:eastAsiaTheme="minorEastAsia" w:cstheme="minorBidi"/>
                <w:kern w:val="2"/>
                <w:sz w:val="21"/>
                <w:szCs w:val="21"/>
                <w:highlight w:val="none"/>
                <w:lang w:val="en-US" w:eastAsia="zh-CN" w:bidi="ar-SA"/>
              </w:rPr>
            </w:pPr>
            <w:r>
              <w:rPr>
                <w:rFonts w:hint="eastAsia" w:asciiTheme="minorEastAsia" w:hAnsiTheme="minorEastAsia" w:eastAsiaTheme="minorEastAsia" w:cstheme="minorBidi"/>
                <w:kern w:val="2"/>
                <w:sz w:val="21"/>
                <w:szCs w:val="21"/>
                <w:highlight w:val="none"/>
                <w:lang w:val="en-US" w:eastAsia="zh-CN" w:bidi="ar-SA"/>
              </w:rPr>
              <w:t>投标人质量保证体系和对产品的质量承诺（5分）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asciiTheme="minorHAnsi" w:hAnsiTheme="minorHAnsi" w:eastAsiaTheme="minorEastAsia" w:cstheme="minorBidi"/>
                <w:kern w:val="2"/>
                <w:sz w:val="21"/>
                <w:szCs w:val="24"/>
                <w:lang w:val="en-US" w:eastAsia="zh-CN" w:bidi="ar-SA"/>
              </w:rPr>
            </w:pPr>
            <w:r>
              <w:rPr>
                <w:rFonts w:hint="eastAsia"/>
              </w:rPr>
              <w:t>投标人提供有效的质量保证体系证书、质量保证承诺，投标人提供产品性能的技术参数；具备完备的质量管理体系、科学的质量管控方案</w:t>
            </w:r>
            <w:r>
              <w:rPr>
                <w:rFonts w:hint="eastAsia"/>
                <w:lang w:eastAsia="zh-CN"/>
              </w:rPr>
              <w:t>，</w:t>
            </w:r>
            <w:r>
              <w:rPr>
                <w:rFonts w:hint="eastAsia"/>
                <w:lang w:val="en-US" w:eastAsia="zh-CN"/>
              </w:rPr>
              <w:t>一项得1分。</w:t>
            </w:r>
            <w:r>
              <w:rPr>
                <w:rFonts w:hint="eastAsia"/>
              </w:rPr>
              <w:t xml:space="preserve"> </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default" w:asciiTheme="minorEastAsia" w:hAnsiTheme="minorEastAsia" w:eastAsiaTheme="minorEastAsia" w:cstheme="minorBidi"/>
                <w:kern w:val="2"/>
                <w:sz w:val="21"/>
                <w:szCs w:val="21"/>
                <w:highlight w:val="none"/>
                <w:lang w:val="en-US" w:eastAsia="zh-CN" w:bidi="ar-SA"/>
              </w:rPr>
            </w:pPr>
            <w:r>
              <w:rPr>
                <w:rFonts w:hint="eastAsia" w:asciiTheme="minorEastAsia" w:hAnsiTheme="minorEastAsia" w:eastAsiaTheme="minorEastAsia" w:cstheme="minorBidi"/>
                <w:kern w:val="2"/>
                <w:sz w:val="21"/>
                <w:szCs w:val="21"/>
                <w:highlight w:val="none"/>
                <w:lang w:val="en-US" w:eastAsia="zh-CN" w:bidi="ar-SA"/>
              </w:rPr>
              <w:t>自检能力（4分）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rPr>
            </w:pPr>
            <w:r>
              <w:rPr>
                <w:rFonts w:hint="eastAsia"/>
              </w:rPr>
              <w:t>（1）投标人具有先进的产品质量检测设备（2）投标人具有检测原材料的质量保证措施；</w:t>
            </w:r>
            <w:r>
              <w:rPr>
                <w:rFonts w:hint="eastAsia"/>
                <w:lang w:val="en-US" w:eastAsia="zh-CN"/>
              </w:rPr>
              <w:t>达到一项得2分，没有</w:t>
            </w:r>
            <w:r>
              <w:rPr>
                <w:rFonts w:hint="eastAsia"/>
              </w:rPr>
              <w:t xml:space="preserve">不得分。 （ 检测设备列表说明并附设备图片；） </w:t>
            </w:r>
          </w:p>
        </w:tc>
      </w:tr>
      <w:tr>
        <w:tblPrEx>
          <w:tblCellMar>
            <w:top w:w="15" w:type="dxa"/>
            <w:left w:w="15" w:type="dxa"/>
            <w:bottom w:w="15" w:type="dxa"/>
            <w:right w:w="15" w:type="dxa"/>
          </w:tblCellMar>
        </w:tblPrEx>
        <w:trPr>
          <w:trHeight w:val="450"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1"/>
              <w:jc w:val="center"/>
              <w:rPr>
                <w:rFonts w:hint="default" w:asciiTheme="minorEastAsia" w:hAnsiTheme="minorEastAsia" w:eastAsiaTheme="minorEastAsia" w:cstheme="minorBidi"/>
                <w:kern w:val="2"/>
                <w:sz w:val="21"/>
                <w:szCs w:val="21"/>
                <w:highlight w:val="none"/>
                <w:lang w:val="en-US" w:eastAsia="zh-CN" w:bidi="ar-SA"/>
              </w:rPr>
            </w:pPr>
            <w:r>
              <w:rPr>
                <w:rFonts w:hint="eastAsia" w:asciiTheme="minorEastAsia" w:hAnsiTheme="minorEastAsia" w:eastAsiaTheme="minorEastAsia" w:cstheme="minorBidi"/>
                <w:kern w:val="2"/>
                <w:sz w:val="21"/>
                <w:szCs w:val="21"/>
                <w:highlight w:val="none"/>
                <w:lang w:val="en-US" w:eastAsia="zh-CN" w:bidi="ar-SA"/>
              </w:rPr>
              <w:t>投标人提供的技术资料：国家、行业有关报价产品的生产质检标准、报价产品检验报告 （3分）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eastAsia"/>
              </w:rPr>
            </w:pPr>
            <w:r>
              <w:rPr>
                <w:rFonts w:hint="eastAsia"/>
              </w:rPr>
              <w:t xml:space="preserve">投标人提供的投标同类产品执行的标准，产品、原材料检验检测报告，完整提供投标产品所有规格且全部合格的得3分；不能完整提供所有规格产品的，每提供一份对应投标货物规格的检测报告得0.5分；最多得2分；未提供的不得分。 </w:t>
            </w:r>
          </w:p>
        </w:tc>
      </w:tr>
      <w:tr>
        <w:tblPrEx>
          <w:tblCellMar>
            <w:top w:w="15" w:type="dxa"/>
            <w:left w:w="15" w:type="dxa"/>
            <w:bottom w:w="15" w:type="dxa"/>
            <w:right w:w="15" w:type="dxa"/>
          </w:tblCellMar>
        </w:tblPrEx>
        <w:trPr>
          <w:trHeight w:val="1426"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pPr>
            <w:r>
              <w:rPr>
                <w:rFonts w:hint="eastAsia" w:asciiTheme="minorEastAsia" w:hAnsiTheme="minorEastAsia"/>
                <w:szCs w:val="21"/>
              </w:rPr>
              <w:t>货物价格（</w:t>
            </w:r>
            <w:r>
              <w:rPr>
                <w:rFonts w:hint="eastAsia" w:asciiTheme="minorEastAsia" w:hAnsiTheme="minorEastAsia"/>
                <w:szCs w:val="21"/>
                <w:lang w:val="en-US" w:eastAsia="zh-CN"/>
              </w:rPr>
              <w:t>4</w:t>
            </w:r>
            <w:r>
              <w:rPr>
                <w:rFonts w:hint="eastAsia" w:asciiTheme="minorEastAsia" w:hAnsiTheme="minorEastAsia"/>
                <w:szCs w:val="21"/>
              </w:rPr>
              <w:t>0分）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8"/>
              <w:adjustRightInd w:val="0"/>
              <w:snapToGrid w:val="0"/>
              <w:spacing w:line="360" w:lineRule="auto"/>
              <w:ind w:left="228" w:right="313"/>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eastAsiaTheme="minorEastAsia" w:cstheme="minorBidi"/>
                <w:kern w:val="2"/>
                <w:sz w:val="21"/>
                <w:szCs w:val="21"/>
                <w:lang w:val="en-US" w:eastAsia="zh-CN" w:bidi="ar-SA"/>
              </w:rPr>
              <w:t>对各投标人的投标价格进行数字校核，称为投标评标价。</w:t>
            </w:r>
          </w:p>
          <w:p>
            <w:pPr>
              <w:pStyle w:val="28"/>
              <w:adjustRightInd w:val="0"/>
              <w:snapToGrid w:val="0"/>
              <w:spacing w:line="360" w:lineRule="auto"/>
              <w:ind w:left="228" w:right="313"/>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eastAsiaTheme="minorEastAsia" w:cstheme="minorBidi"/>
                <w:kern w:val="2"/>
                <w:sz w:val="21"/>
                <w:szCs w:val="21"/>
                <w:lang w:val="en-US" w:eastAsia="zh-CN" w:bidi="ar-SA"/>
              </w:rPr>
              <w:t>各投标人的价格得分按以下方法得出</w:t>
            </w:r>
          </w:p>
          <w:p>
            <w:pPr>
              <w:pStyle w:val="28"/>
              <w:adjustRightInd w:val="0"/>
              <w:snapToGrid w:val="0"/>
              <w:spacing w:line="360" w:lineRule="auto"/>
              <w:ind w:left="228" w:right="313"/>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eastAsiaTheme="minorEastAsia" w:cstheme="minorBidi"/>
                <w:kern w:val="2"/>
                <w:sz w:val="21"/>
                <w:szCs w:val="21"/>
                <w:lang w:val="en-US" w:eastAsia="zh-CN" w:bidi="ar-SA"/>
              </w:rPr>
              <w:t>C=[1-（H-HL)/(HH-HL)]x40</w:t>
            </w:r>
          </w:p>
          <w:p>
            <w:pPr>
              <w:pStyle w:val="28"/>
              <w:adjustRightInd w:val="0"/>
              <w:snapToGrid w:val="0"/>
              <w:spacing w:line="360" w:lineRule="auto"/>
              <w:ind w:left="228" w:right="313"/>
              <w:rPr>
                <w:rFonts w:hint="default" w:asciiTheme="minorEastAsia" w:hAnsiTheme="minorEastAsia" w:eastAsiaTheme="minorEastAsia" w:cstheme="minorBidi"/>
                <w:kern w:val="2"/>
                <w:sz w:val="21"/>
                <w:szCs w:val="21"/>
                <w:lang w:val="en-US" w:eastAsia="zh-CN" w:bidi="ar-SA"/>
              </w:rPr>
            </w:pPr>
            <w:r>
              <w:rPr>
                <w:rFonts w:hint="eastAsia" w:asciiTheme="minorEastAsia" w:hAnsiTheme="minorEastAsia" w:eastAsiaTheme="minorEastAsia" w:cstheme="minorBidi"/>
                <w:kern w:val="2"/>
                <w:sz w:val="21"/>
                <w:szCs w:val="21"/>
                <w:lang w:val="en-US" w:eastAsia="zh-CN" w:bidi="ar-SA"/>
              </w:rPr>
              <w:t>C：投标人投标价格部分得分。</w:t>
            </w:r>
          </w:p>
          <w:p>
            <w:pPr>
              <w:pStyle w:val="28"/>
              <w:adjustRightInd w:val="0"/>
              <w:snapToGrid w:val="0"/>
              <w:spacing w:line="360" w:lineRule="auto"/>
              <w:ind w:left="228" w:right="313"/>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eastAsiaTheme="minorEastAsia" w:cstheme="minorBidi"/>
                <w:kern w:val="2"/>
                <w:sz w:val="21"/>
                <w:szCs w:val="21"/>
                <w:lang w:val="en-US" w:eastAsia="zh-CN" w:bidi="ar-SA"/>
              </w:rPr>
              <w:t>H：投标人投标报价（即满足招标文件要求的投标人的投标报价）。</w:t>
            </w:r>
          </w:p>
          <w:p>
            <w:pPr>
              <w:pStyle w:val="28"/>
              <w:adjustRightInd w:val="0"/>
              <w:snapToGrid w:val="0"/>
              <w:spacing w:line="360" w:lineRule="auto"/>
              <w:ind w:left="228" w:right="313"/>
              <w:rPr>
                <w:rFonts w:hint="eastAsia" w:asciiTheme="minorEastAsia" w:hAnsiTheme="minorEastAsia" w:eastAsiaTheme="minorEastAsia" w:cstheme="minorBidi"/>
                <w:kern w:val="2"/>
                <w:sz w:val="21"/>
                <w:szCs w:val="21"/>
                <w:lang w:val="en-US" w:eastAsia="zh-CN" w:bidi="ar-SA"/>
              </w:rPr>
            </w:pPr>
            <w:r>
              <w:rPr>
                <w:rFonts w:hint="eastAsia" w:asciiTheme="minorEastAsia" w:hAnsiTheme="minorEastAsia" w:eastAsiaTheme="minorEastAsia" w:cstheme="minorBidi"/>
                <w:kern w:val="2"/>
                <w:sz w:val="21"/>
                <w:szCs w:val="21"/>
                <w:lang w:val="en-US" w:eastAsia="zh-CN" w:bidi="ar-SA"/>
              </w:rPr>
              <w:t>HL: 评标基准价（即满足招标文件要求且投标价格最低的投标报价）。</w:t>
            </w:r>
          </w:p>
          <w:p>
            <w:pPr>
              <w:spacing w:line="360" w:lineRule="auto"/>
              <w:ind w:firstLine="420" w:firstLineChars="200"/>
            </w:pPr>
            <w:r>
              <w:rPr>
                <w:rFonts w:hint="eastAsia" w:asciiTheme="minorEastAsia" w:hAnsiTheme="minorEastAsia" w:eastAsiaTheme="minorEastAsia" w:cstheme="minorBidi"/>
                <w:kern w:val="2"/>
                <w:sz w:val="21"/>
                <w:szCs w:val="21"/>
                <w:lang w:val="en-US" w:eastAsia="zh-CN" w:bidi="ar-SA"/>
              </w:rPr>
              <w:t>HH：评标最高价（即满足招标文件要求且投标价格最高的投标报价）。</w:t>
            </w:r>
          </w:p>
        </w:tc>
      </w:tr>
      <w:tr>
        <w:tblPrEx>
          <w:tblCellMar>
            <w:top w:w="15" w:type="dxa"/>
            <w:left w:w="15" w:type="dxa"/>
            <w:bottom w:w="15" w:type="dxa"/>
            <w:right w:w="15" w:type="dxa"/>
          </w:tblCellMar>
        </w:tblPrEx>
        <w:trPr>
          <w:trHeight w:val="286"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pPr>
            <w:r>
              <w:rPr>
                <w:rFonts w:hint="eastAsia" w:ascii="宋体" w:hAnsi="宋体" w:cs="宋体"/>
                <w:sz w:val="21"/>
                <w:szCs w:val="21"/>
                <w:lang w:val="en-US" w:eastAsia="zh-CN"/>
              </w:rPr>
              <w:t>投标人类似项目</w:t>
            </w:r>
            <w:r>
              <w:rPr>
                <w:rFonts w:hint="eastAsia" w:ascii="宋体" w:hAnsi="宋体" w:cs="宋体"/>
                <w:sz w:val="21"/>
                <w:szCs w:val="21"/>
                <w:lang w:eastAsia="zh-CN"/>
              </w:rPr>
              <w:t>业绩</w:t>
            </w:r>
            <w:r>
              <w:rPr>
                <w:rFonts w:hint="eastAsia" w:asciiTheme="minorEastAsia" w:hAnsiTheme="minorEastAsia"/>
                <w:szCs w:val="21"/>
              </w:rPr>
              <w:t>（5分）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pPr>
            <w:r>
              <w:rPr>
                <w:rFonts w:hint="eastAsia" w:asciiTheme="minorEastAsia" w:hAnsiTheme="minorEastAsia"/>
                <w:szCs w:val="21"/>
              </w:rPr>
              <w:t>越符合招标文件要求分值越高</w:t>
            </w:r>
          </w:p>
        </w:tc>
      </w:tr>
      <w:tr>
        <w:tblPrEx>
          <w:tblCellMar>
            <w:top w:w="15" w:type="dxa"/>
            <w:left w:w="15" w:type="dxa"/>
            <w:bottom w:w="15" w:type="dxa"/>
            <w:right w:w="15" w:type="dxa"/>
          </w:tblCellMar>
        </w:tblPrEx>
        <w:trPr>
          <w:trHeight w:val="286"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pPr>
            <w:r>
              <w:rPr>
                <w:rFonts w:hint="eastAsia" w:asciiTheme="minorEastAsia" w:hAnsiTheme="minorEastAsia"/>
                <w:szCs w:val="21"/>
                <w:lang w:val="en-US" w:eastAsia="zh-CN"/>
              </w:rPr>
              <w:t>货物交期</w:t>
            </w:r>
            <w:r>
              <w:rPr>
                <w:rFonts w:hint="eastAsia" w:asciiTheme="minorEastAsia" w:hAnsiTheme="minorEastAsia"/>
                <w:szCs w:val="21"/>
              </w:rPr>
              <w:t>（</w:t>
            </w:r>
            <w:r>
              <w:rPr>
                <w:rFonts w:hint="eastAsia" w:asciiTheme="minorEastAsia" w:hAnsiTheme="minorEastAsia"/>
                <w:szCs w:val="21"/>
                <w:lang w:val="en-US" w:eastAsia="zh-CN"/>
              </w:rPr>
              <w:t>10</w:t>
            </w:r>
            <w:r>
              <w:rPr>
                <w:rFonts w:hint="eastAsia" w:asciiTheme="minorEastAsia" w:hAnsiTheme="minorEastAsia"/>
                <w:szCs w:val="21"/>
              </w:rPr>
              <w:t>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10" w:firstLineChars="100"/>
              <w:jc w:val="left"/>
              <w:rPr>
                <w:rFonts w:hint="eastAsia" w:ascii="宋体" w:hAnsi="宋体" w:eastAsia="宋体" w:cs="宋体"/>
                <w:highlight w:val="none"/>
                <w:lang w:val="en-US" w:eastAsia="zh-CN"/>
              </w:rPr>
            </w:pPr>
            <w:r>
              <w:rPr>
                <w:rFonts w:hint="eastAsia" w:ascii="宋体" w:hAnsi="宋体" w:eastAsia="宋体" w:cs="宋体"/>
                <w:highlight w:val="none"/>
              </w:rPr>
              <w:t>C=</w:t>
            </w:r>
            <w:r>
              <w:rPr>
                <w:rFonts w:hint="eastAsia" w:ascii="宋体" w:hAnsi="宋体" w:eastAsia="宋体" w:cs="宋体"/>
                <w:highlight w:val="none"/>
                <w:lang w:val="en-US" w:eastAsia="zh-CN"/>
              </w:rPr>
              <w:t>[1-（D-30)/30]x</w:t>
            </w:r>
            <w:r>
              <w:rPr>
                <w:rFonts w:hint="eastAsia" w:ascii="宋体" w:hAnsi="宋体" w:cs="宋体"/>
                <w:highlight w:val="none"/>
                <w:lang w:val="en-US" w:eastAsia="zh-CN"/>
              </w:rPr>
              <w:t>1</w:t>
            </w:r>
            <w:r>
              <w:rPr>
                <w:rFonts w:hint="eastAsia" w:ascii="宋体" w:hAnsi="宋体" w:eastAsia="宋体" w:cs="宋体"/>
                <w:highlight w:val="none"/>
                <w:lang w:val="en-US" w:eastAsia="zh-CN"/>
              </w:rPr>
              <w:t>0</w:t>
            </w:r>
          </w:p>
          <w:p>
            <w:pPr>
              <w:keepNext w:val="0"/>
              <w:keepLines w:val="0"/>
              <w:widowControl/>
              <w:suppressLineNumbers w:val="0"/>
              <w:ind w:firstLine="210" w:firstLineChars="100"/>
              <w:jc w:val="left"/>
              <w:rPr>
                <w:rFonts w:hint="eastAsia" w:ascii="宋体" w:hAnsi="宋体" w:eastAsia="宋体" w:cs="宋体"/>
                <w:highlight w:val="none"/>
              </w:rPr>
            </w:pPr>
            <w:r>
              <w:rPr>
                <w:rFonts w:hint="eastAsia" w:ascii="宋体" w:hAnsi="宋体" w:eastAsia="宋体" w:cs="宋体"/>
                <w:highlight w:val="none"/>
              </w:rPr>
              <w:t>C：投标人</w:t>
            </w:r>
            <w:r>
              <w:rPr>
                <w:rFonts w:hint="eastAsia" w:ascii="宋体" w:hAnsi="宋体" w:eastAsia="宋体" w:cs="宋体"/>
                <w:highlight w:val="none"/>
                <w:lang w:val="en-US" w:eastAsia="zh-CN"/>
              </w:rPr>
              <w:t>货物交期</w:t>
            </w:r>
            <w:r>
              <w:rPr>
                <w:rFonts w:hint="eastAsia" w:ascii="宋体" w:hAnsi="宋体" w:cs="宋体"/>
                <w:highlight w:val="none"/>
                <w:lang w:val="en-US" w:eastAsia="zh-CN"/>
              </w:rPr>
              <w:t>商务</w:t>
            </w:r>
            <w:r>
              <w:rPr>
                <w:rFonts w:hint="eastAsia" w:ascii="宋体" w:hAnsi="宋体" w:eastAsia="宋体" w:cs="宋体"/>
                <w:highlight w:val="none"/>
              </w:rPr>
              <w:t>得分</w:t>
            </w:r>
          </w:p>
          <w:p>
            <w:pPr>
              <w:spacing w:line="360" w:lineRule="auto"/>
              <w:ind w:firstLine="210" w:firstLineChars="100"/>
            </w:pPr>
            <w:r>
              <w:rPr>
                <w:rFonts w:hint="eastAsia" w:ascii="宋体" w:hAnsi="宋体" w:eastAsia="宋体" w:cs="宋体"/>
                <w:highlight w:val="none"/>
                <w:lang w:val="en-US" w:eastAsia="zh-CN"/>
              </w:rPr>
              <w:t>D：</w:t>
            </w:r>
            <w:r>
              <w:rPr>
                <w:rFonts w:hint="eastAsia" w:ascii="宋体" w:hAnsi="宋体" w:cs="宋体"/>
                <w:highlight w:val="none"/>
                <w:lang w:val="en-US" w:eastAsia="zh-CN"/>
              </w:rPr>
              <w:t>投标人交期</w:t>
            </w:r>
            <w:r>
              <w:rPr>
                <w:rFonts w:hint="eastAsia" w:ascii="宋体" w:hAnsi="宋体" w:eastAsia="宋体" w:cs="宋体"/>
                <w:highlight w:val="none"/>
                <w:lang w:val="en-US" w:eastAsia="zh-CN"/>
              </w:rPr>
              <w:t>天数</w:t>
            </w:r>
          </w:p>
        </w:tc>
      </w:tr>
      <w:tr>
        <w:tblPrEx>
          <w:tblCellMar>
            <w:top w:w="15" w:type="dxa"/>
            <w:left w:w="15" w:type="dxa"/>
            <w:bottom w:w="15" w:type="dxa"/>
            <w:right w:w="15" w:type="dxa"/>
          </w:tblCellMar>
        </w:tblPrEx>
        <w:trPr>
          <w:trHeight w:val="286" w:hRule="atLeast"/>
        </w:trPr>
        <w:tc>
          <w:tcPr>
            <w:tcW w:w="3509"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ind w:firstLine="420" w:firstLineChars="200"/>
              <w:rPr>
                <w:rFonts w:hint="default" w:asciiTheme="minorEastAsia" w:hAnsiTheme="minorEastAsia"/>
                <w:szCs w:val="21"/>
                <w:lang w:val="en-US" w:eastAsia="zh-CN"/>
              </w:rPr>
            </w:pPr>
            <w:r>
              <w:rPr>
                <w:rFonts w:hint="eastAsia" w:asciiTheme="minorEastAsia" w:hAnsiTheme="minorEastAsia"/>
                <w:szCs w:val="21"/>
                <w:lang w:val="en-US" w:eastAsia="zh-CN"/>
              </w:rPr>
              <w:t>质保期（5分）</w:t>
            </w:r>
          </w:p>
        </w:tc>
        <w:tc>
          <w:tcPr>
            <w:tcW w:w="56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210" w:firstLineChars="100"/>
              <w:jc w:val="left"/>
              <w:rPr>
                <w:rFonts w:hint="eastAsia" w:ascii="宋体" w:hAnsi="宋体" w:eastAsia="宋体" w:cs="宋体"/>
                <w:highlight w:val="none"/>
                <w:lang w:eastAsia="zh-CN"/>
              </w:rPr>
            </w:pPr>
            <w:r>
              <w:rPr>
                <w:rFonts w:hint="eastAsia" w:ascii="宋体" w:hAnsi="宋体" w:eastAsia="宋体" w:cs="宋体"/>
                <w:highlight w:val="none"/>
                <w:lang w:val="en-US" w:eastAsia="zh-CN"/>
              </w:rPr>
              <w:t>质保期为1年的，</w:t>
            </w:r>
            <w:r>
              <w:rPr>
                <w:rFonts w:hint="eastAsia" w:ascii="宋体" w:hAnsi="宋体" w:eastAsia="宋体" w:cs="宋体"/>
                <w:highlight w:val="none"/>
                <w:lang w:eastAsia="zh-CN"/>
              </w:rPr>
              <w:t>得</w:t>
            </w:r>
            <w:r>
              <w:rPr>
                <w:rFonts w:hint="eastAsia" w:ascii="宋体" w:hAnsi="宋体" w:eastAsia="宋体" w:cs="宋体"/>
                <w:highlight w:val="none"/>
                <w:lang w:val="en-US" w:eastAsia="zh-CN"/>
              </w:rPr>
              <w:t>5</w:t>
            </w:r>
            <w:r>
              <w:rPr>
                <w:rFonts w:hint="eastAsia" w:ascii="宋体" w:hAnsi="宋体" w:eastAsia="宋体" w:cs="宋体"/>
                <w:highlight w:val="none"/>
                <w:lang w:eastAsia="zh-CN"/>
              </w:rPr>
              <w:t>分；</w:t>
            </w:r>
          </w:p>
          <w:p>
            <w:pPr>
              <w:keepNext w:val="0"/>
              <w:keepLines w:val="0"/>
              <w:widowControl/>
              <w:suppressLineNumbers w:val="0"/>
              <w:ind w:firstLine="210" w:firstLineChars="100"/>
              <w:jc w:val="left"/>
              <w:rPr>
                <w:rFonts w:hint="eastAsia" w:ascii="宋体" w:hAnsi="宋体" w:eastAsia="宋体" w:cs="宋体"/>
                <w:highlight w:val="none"/>
                <w:lang w:eastAsia="zh-CN"/>
              </w:rPr>
            </w:pPr>
            <w:r>
              <w:rPr>
                <w:rFonts w:hint="eastAsia" w:ascii="宋体" w:hAnsi="宋体" w:eastAsia="宋体" w:cs="宋体"/>
                <w:highlight w:val="none"/>
                <w:lang w:val="en-US" w:eastAsia="zh-CN"/>
              </w:rPr>
              <w:t>质保期为8个月的，</w:t>
            </w:r>
            <w:r>
              <w:rPr>
                <w:rFonts w:hint="eastAsia" w:ascii="宋体" w:hAnsi="宋体" w:eastAsia="宋体" w:cs="宋体"/>
                <w:highlight w:val="none"/>
                <w:lang w:eastAsia="zh-CN"/>
              </w:rPr>
              <w:t>得</w:t>
            </w:r>
            <w:r>
              <w:rPr>
                <w:rFonts w:hint="eastAsia" w:ascii="宋体" w:hAnsi="宋体" w:eastAsia="宋体" w:cs="宋体"/>
                <w:highlight w:val="none"/>
                <w:lang w:val="en-US" w:eastAsia="zh-CN"/>
              </w:rPr>
              <w:t>3</w:t>
            </w:r>
            <w:r>
              <w:rPr>
                <w:rFonts w:hint="eastAsia" w:ascii="宋体" w:hAnsi="宋体" w:eastAsia="宋体" w:cs="宋体"/>
                <w:highlight w:val="none"/>
                <w:lang w:eastAsia="zh-CN"/>
              </w:rPr>
              <w:t>分；</w:t>
            </w:r>
          </w:p>
          <w:p>
            <w:pPr>
              <w:keepNext w:val="0"/>
              <w:keepLines w:val="0"/>
              <w:widowControl/>
              <w:suppressLineNumbers w:val="0"/>
              <w:ind w:firstLine="210" w:firstLineChars="1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质保期为6个月的，得1分；</w:t>
            </w:r>
          </w:p>
          <w:p>
            <w:pPr>
              <w:keepNext w:val="0"/>
              <w:keepLines w:val="0"/>
              <w:widowControl/>
              <w:suppressLineNumbers w:val="0"/>
              <w:ind w:firstLine="210" w:firstLineChars="100"/>
              <w:jc w:val="left"/>
              <w:rPr>
                <w:rFonts w:hint="eastAsia" w:ascii="宋体" w:hAnsi="宋体" w:eastAsia="宋体" w:cs="宋体"/>
                <w:highlight w:val="none"/>
                <w:lang w:val="en-US" w:eastAsia="zh-CN"/>
              </w:rPr>
            </w:pPr>
            <w:r>
              <w:rPr>
                <w:rFonts w:hint="eastAsia" w:ascii="宋体" w:hAnsi="宋体" w:eastAsia="宋体" w:cs="宋体"/>
                <w:highlight w:val="none"/>
                <w:lang w:val="en-US" w:eastAsia="zh-CN"/>
              </w:rPr>
              <w:t>低于6个月的，不得分。</w:t>
            </w:r>
          </w:p>
        </w:tc>
      </w:tr>
    </w:tbl>
    <w:p>
      <w:pPr>
        <w:spacing w:line="360" w:lineRule="auto"/>
        <w:ind w:firstLine="420" w:firstLineChars="200"/>
      </w:pP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2" w:name="_Toc2935"/>
      <w:r>
        <w:rPr>
          <w:rFonts w:hint="eastAsia"/>
          <w:sz w:val="22"/>
          <w:szCs w:val="22"/>
          <w:lang w:val="en-US" w:eastAsia="zh-CN"/>
        </w:rPr>
        <w:t>11.合同的授予</w:t>
      </w:r>
      <w:bookmarkEnd w:id="72"/>
      <w:r>
        <w:rPr>
          <w:rFonts w:hint="eastAsia"/>
          <w:sz w:val="22"/>
          <w:szCs w:val="22"/>
          <w:lang w:val="en-US" w:eastAsia="zh-CN"/>
        </w:rPr>
        <w:t xml:space="preserve"> </w:t>
      </w:r>
    </w:p>
    <w:p>
      <w:pPr>
        <w:spacing w:line="360" w:lineRule="auto"/>
        <w:ind w:firstLine="420" w:firstLineChars="200"/>
        <w:rPr>
          <w:rFonts w:hint="eastAsia" w:eastAsiaTheme="minorEastAsia"/>
          <w:lang w:eastAsia="zh-CN"/>
        </w:rPr>
      </w:pPr>
      <w:r>
        <w:rPr>
          <w:rFonts w:hint="eastAsia" w:asciiTheme="minorEastAsia" w:hAnsiTheme="minorEastAsia"/>
          <w:szCs w:val="21"/>
          <w:lang w:val="en-US" w:eastAsia="zh-CN"/>
        </w:rPr>
        <w:t>1.</w:t>
      </w:r>
      <w:r>
        <w:rPr>
          <w:rFonts w:hint="eastAsia" w:asciiTheme="minorEastAsia" w:hAnsiTheme="minorEastAsia"/>
          <w:szCs w:val="21"/>
        </w:rPr>
        <w:t>中标候选人的确定</w:t>
      </w:r>
      <w:r>
        <w:rPr>
          <w:rFonts w:hint="eastAsia" w:asciiTheme="minorEastAsia" w:hAnsiTheme="minorEastAsia"/>
          <w:szCs w:val="21"/>
          <w:lang w:eastAsia="zh-CN"/>
        </w:rPr>
        <w:t>：</w:t>
      </w:r>
    </w:p>
    <w:p>
      <w:pPr>
        <w:spacing w:line="360" w:lineRule="auto"/>
        <w:ind w:firstLine="420" w:firstLineChars="200"/>
        <w:rPr>
          <w:rFonts w:asciiTheme="minorEastAsia" w:hAnsiTheme="minorEastAsia"/>
          <w:szCs w:val="21"/>
        </w:rPr>
      </w:pPr>
      <w:r>
        <w:rPr>
          <w:rFonts w:hint="eastAsia" w:asciiTheme="minorEastAsia" w:hAnsiTheme="minorEastAsia"/>
          <w:szCs w:val="21"/>
        </w:rPr>
        <w:t>招标方原则上按照能够实质上响应招标文件要求，根据综合得分排序，列出中标候选人，综合得分最高的投标人确定为中标第一候选人，依次类推。</w:t>
      </w:r>
    </w:p>
    <w:p>
      <w:pPr>
        <w:spacing w:line="360" w:lineRule="auto"/>
        <w:ind w:firstLine="420" w:firstLineChars="200"/>
        <w:rPr>
          <w:rFonts w:hint="eastAsia" w:eastAsiaTheme="minorEastAsia"/>
          <w:lang w:eastAsia="zh-CN"/>
        </w:rPr>
      </w:pPr>
      <w:r>
        <w:rPr>
          <w:rFonts w:hint="eastAsia" w:asciiTheme="minorEastAsia" w:hAnsiTheme="minorEastAsia"/>
          <w:szCs w:val="21"/>
          <w:lang w:val="en-US" w:eastAsia="zh-CN"/>
        </w:rPr>
        <w:t>2.</w:t>
      </w:r>
      <w:r>
        <w:rPr>
          <w:rFonts w:hint="eastAsia" w:asciiTheme="minorEastAsia" w:hAnsiTheme="minorEastAsia"/>
          <w:szCs w:val="21"/>
        </w:rPr>
        <w:t>合同的授予</w:t>
      </w:r>
      <w:r>
        <w:rPr>
          <w:rFonts w:hint="eastAsia" w:asciiTheme="minorEastAsia" w:hAnsiTheme="minorEastAsia"/>
          <w:szCs w:val="21"/>
          <w:lang w:eastAsia="zh-CN"/>
        </w:rPr>
        <w:t>：</w:t>
      </w:r>
    </w:p>
    <w:p>
      <w:pPr>
        <w:spacing w:line="360" w:lineRule="auto"/>
        <w:ind w:firstLine="420" w:firstLineChars="200"/>
      </w:pPr>
      <w:r>
        <w:rPr>
          <w:rFonts w:hint="eastAsia" w:asciiTheme="minorEastAsia" w:hAnsiTheme="minorEastAsia"/>
          <w:szCs w:val="21"/>
        </w:rPr>
        <w:t>在规定的投标有效截止期前，招标方将与中标第一候选人进行商务谈判，如能满足招标方要求，招标方将把该项目的合同的全部授予第一中标候选人。否则，招标方将与中标第二候选人进行谈判，依次类推。</w:t>
      </w:r>
    </w:p>
    <w:p>
      <w:pPr>
        <w:spacing w:line="360" w:lineRule="auto"/>
        <w:ind w:firstLine="420" w:firstLineChars="200"/>
        <w:rPr>
          <w:rFonts w:hint="eastAsia" w:eastAsiaTheme="minorEastAsia"/>
          <w:lang w:eastAsia="zh-CN"/>
        </w:rPr>
      </w:pPr>
      <w:r>
        <w:rPr>
          <w:rFonts w:hint="eastAsia" w:asciiTheme="minorEastAsia" w:hAnsiTheme="minorEastAsia"/>
          <w:szCs w:val="21"/>
          <w:lang w:val="en-US" w:eastAsia="zh-CN"/>
        </w:rPr>
        <w:t>3.</w:t>
      </w:r>
      <w:r>
        <w:rPr>
          <w:rFonts w:hint="eastAsia" w:asciiTheme="minorEastAsia" w:hAnsiTheme="minorEastAsia"/>
          <w:szCs w:val="21"/>
        </w:rPr>
        <w:t>招标数量与质量要求的变更</w:t>
      </w:r>
      <w:r>
        <w:rPr>
          <w:rFonts w:hint="eastAsia" w:asciiTheme="minorEastAsia" w:hAnsiTheme="minorEastAsia"/>
          <w:szCs w:val="21"/>
          <w:lang w:eastAsia="zh-CN"/>
        </w:rPr>
        <w:t>：</w:t>
      </w:r>
    </w:p>
    <w:p>
      <w:pPr>
        <w:spacing w:line="360" w:lineRule="auto"/>
        <w:ind w:firstLine="420" w:firstLineChars="200"/>
      </w:pPr>
      <w:r>
        <w:rPr>
          <w:rFonts w:hint="eastAsia" w:asciiTheme="minorEastAsia" w:hAnsiTheme="minorEastAsia"/>
          <w:szCs w:val="21"/>
        </w:rPr>
        <w:t>确定中标单位后，招标方有权对招标数量与质量进行调整。数量不定以项目实际需用量为准。</w:t>
      </w:r>
    </w:p>
    <w:p>
      <w:pPr>
        <w:spacing w:line="360" w:lineRule="auto"/>
        <w:ind w:firstLine="420" w:firstLineChars="200"/>
        <w:rPr>
          <w:rFonts w:hint="eastAsia" w:eastAsiaTheme="minorEastAsia"/>
          <w:lang w:eastAsia="zh-CN"/>
        </w:rPr>
      </w:pPr>
      <w:r>
        <w:rPr>
          <w:rFonts w:hint="eastAsia" w:asciiTheme="minorEastAsia" w:hAnsiTheme="minorEastAsia"/>
          <w:szCs w:val="21"/>
          <w:lang w:val="en-US" w:eastAsia="zh-CN"/>
        </w:rPr>
        <w:t>4.</w:t>
      </w:r>
      <w:r>
        <w:rPr>
          <w:rFonts w:hint="eastAsia" w:asciiTheme="minorEastAsia" w:hAnsiTheme="minorEastAsia"/>
          <w:szCs w:val="21"/>
        </w:rPr>
        <w:t>有关合同的签订</w:t>
      </w:r>
      <w:r>
        <w:rPr>
          <w:rFonts w:hint="eastAsia" w:asciiTheme="minorEastAsia" w:hAnsiTheme="minorEastAsia"/>
          <w:szCs w:val="21"/>
          <w:lang w:eastAsia="zh-CN"/>
        </w:rPr>
        <w:t>：</w:t>
      </w:r>
    </w:p>
    <w:p>
      <w:pPr>
        <w:spacing w:line="360" w:lineRule="auto"/>
        <w:ind w:firstLine="420" w:firstLineChars="200"/>
        <w:rPr>
          <w:rFonts w:hint="eastAsia" w:asciiTheme="minorEastAsia" w:hAnsiTheme="minorEastAsia"/>
          <w:szCs w:val="21"/>
          <w:lang w:eastAsia="zh-CN"/>
        </w:rPr>
      </w:pPr>
      <w:r>
        <w:rPr>
          <w:rFonts w:hint="eastAsia" w:asciiTheme="minorEastAsia" w:hAnsiTheme="minorEastAsia"/>
          <w:szCs w:val="21"/>
        </w:rPr>
        <w:t>中标方在</w:t>
      </w:r>
      <w:r>
        <w:rPr>
          <w:rFonts w:asciiTheme="minorEastAsia" w:hAnsiTheme="minorEastAsia"/>
          <w:szCs w:val="21"/>
        </w:rPr>
        <w:t>7</w:t>
      </w:r>
      <w:r>
        <w:rPr>
          <w:rFonts w:hint="eastAsia" w:asciiTheme="minorEastAsia" w:hAnsiTheme="minorEastAsia"/>
          <w:szCs w:val="21"/>
        </w:rPr>
        <w:t>个自然日内与招标方签订合同</w:t>
      </w:r>
      <w:r>
        <w:rPr>
          <w:rFonts w:hint="eastAsia" w:asciiTheme="minorEastAsia" w:hAnsiTheme="minorEastAsia"/>
          <w:szCs w:val="21"/>
          <w:lang w:eastAsia="zh-CN"/>
        </w:rPr>
        <w:t>。</w:t>
      </w:r>
    </w:p>
    <w:p>
      <w:pPr>
        <w:spacing w:line="360" w:lineRule="auto"/>
        <w:ind w:firstLine="420" w:firstLineChars="200"/>
      </w:pPr>
      <w:r>
        <w:rPr>
          <w:rFonts w:hint="eastAsia" w:asciiTheme="minorEastAsia" w:hAnsiTheme="minorEastAsia"/>
          <w:szCs w:val="21"/>
        </w:rPr>
        <w:t>招标文件与中标方的投标文件及其澄清文件等，均为签订合同的依据。</w:t>
      </w:r>
      <w:r>
        <w:rPr>
          <w:rFonts w:hint="eastAsia"/>
        </w:rPr>
        <w:t xml:space="preserve"> </w:t>
      </w:r>
    </w:p>
    <w:p>
      <w:pPr>
        <w:spacing w:line="360" w:lineRule="auto"/>
        <w:ind w:firstLine="420" w:firstLineChars="200"/>
        <w:rPr>
          <w:rFonts w:hint="eastAsia" w:eastAsiaTheme="minorEastAsia"/>
          <w:lang w:val="en-US" w:eastAsia="zh-CN"/>
        </w:rPr>
      </w:pPr>
      <w:r>
        <w:rPr>
          <w:rFonts w:hint="eastAsia" w:asciiTheme="minorEastAsia" w:hAnsiTheme="minorEastAsia"/>
          <w:szCs w:val="21"/>
          <w:lang w:val="en-US" w:eastAsia="zh-CN"/>
        </w:rPr>
        <w:t>5.</w:t>
      </w:r>
      <w:r>
        <w:rPr>
          <w:rFonts w:hint="eastAsia" w:asciiTheme="minorEastAsia" w:hAnsiTheme="minorEastAsia"/>
          <w:szCs w:val="21"/>
        </w:rPr>
        <w:t>合同的履行</w:t>
      </w:r>
      <w:r>
        <w:rPr>
          <w:rFonts w:hint="eastAsia" w:asciiTheme="minorEastAsia" w:hAnsiTheme="minorEastAsia"/>
          <w:szCs w:val="21"/>
          <w:lang w:eastAsia="zh-CN"/>
        </w:rPr>
        <w:t>：</w:t>
      </w:r>
    </w:p>
    <w:p>
      <w:pPr>
        <w:spacing w:line="360" w:lineRule="auto"/>
        <w:ind w:firstLine="420" w:firstLineChars="200"/>
      </w:pPr>
      <w:r>
        <w:rPr>
          <w:rFonts w:hint="eastAsia" w:asciiTheme="minorEastAsia" w:hAnsiTheme="minorEastAsia"/>
          <w:szCs w:val="21"/>
        </w:rPr>
        <w:t>双方签订的合同对招标人和中标人具有法律效力。招标人改变中标结果或者中标人放弃中标项目的都应承担法律责任。中标人应当按照合同履行义务，完成中标项目，不得向他人转让中标项目，也不得将中标项目肢解后分别向他人转让。</w:t>
      </w:r>
    </w:p>
    <w:p>
      <w:pPr>
        <w:pStyle w:val="15"/>
        <w:spacing w:line="360" w:lineRule="auto"/>
        <w:ind w:left="0" w:leftChars="0" w:firstLine="0" w:firstLineChars="0"/>
      </w:pP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b/>
          <w:sz w:val="32"/>
          <w:szCs w:val="32"/>
        </w:rPr>
      </w:pPr>
      <w:bookmarkStart w:id="73" w:name="_Toc25515"/>
      <w:r>
        <w:rPr>
          <w:rFonts w:hint="eastAsia"/>
          <w:b/>
          <w:sz w:val="32"/>
          <w:szCs w:val="32"/>
        </w:rPr>
        <w:t>第</w:t>
      </w:r>
      <w:r>
        <w:rPr>
          <w:rFonts w:hint="eastAsia"/>
          <w:b/>
          <w:sz w:val="32"/>
          <w:szCs w:val="32"/>
          <w:lang w:val="en-US" w:eastAsia="zh-CN"/>
        </w:rPr>
        <w:t>三</w:t>
      </w:r>
      <w:r>
        <w:rPr>
          <w:rFonts w:hint="eastAsia"/>
          <w:b/>
          <w:sz w:val="32"/>
          <w:szCs w:val="32"/>
        </w:rPr>
        <w:t>章   招标内容与质量要求</w:t>
      </w:r>
      <w:bookmarkEnd w:id="73"/>
    </w:p>
    <w:p>
      <w:pPr>
        <w:pStyle w:val="15"/>
        <w:spacing w:line="360" w:lineRule="auto"/>
        <w:ind w:firstLine="560"/>
      </w:pP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4" w:name="_Toc15926"/>
      <w:bookmarkStart w:id="75" w:name="工程概况"/>
      <w:r>
        <w:rPr>
          <w:rFonts w:hint="eastAsia"/>
          <w:sz w:val="22"/>
          <w:szCs w:val="22"/>
          <w:lang w:val="en-US" w:eastAsia="zh-CN"/>
        </w:rPr>
        <w:t>1.工程概况、招标内容、工期</w:t>
      </w:r>
      <w:bookmarkEnd w:id="74"/>
    </w:p>
    <w:p>
      <w:pPr>
        <w:spacing w:line="360" w:lineRule="auto"/>
        <w:ind w:firstLine="420" w:firstLineChars="200"/>
      </w:pPr>
      <w:r>
        <w:rPr>
          <w:rFonts w:hint="eastAsia"/>
        </w:rPr>
        <w:t xml:space="preserve"> 本次招标的范围为</w:t>
      </w:r>
      <w:r>
        <w:rPr>
          <w:rFonts w:hint="eastAsia"/>
          <w:lang w:val="en-US" w:eastAsia="zh-CN"/>
        </w:rPr>
        <w:t>卡琳娜住房</w:t>
      </w:r>
      <w:r>
        <w:rPr>
          <w:rFonts w:hint="eastAsia"/>
        </w:rPr>
        <w:t>项目铝合金模板材料招标；</w:t>
      </w:r>
      <w:r>
        <w:rPr>
          <w:rFonts w:hint="eastAsia"/>
          <w:kern w:val="2"/>
          <w:sz w:val="21"/>
          <w:szCs w:val="21"/>
          <w:highlight w:val="none"/>
        </w:rPr>
        <w:t>不含基础</w:t>
      </w:r>
      <w:r>
        <w:rPr>
          <w:rFonts w:hint="eastAsia"/>
          <w:kern w:val="2"/>
          <w:sz w:val="21"/>
          <w:szCs w:val="21"/>
          <w:highlight w:val="none"/>
          <w:lang w:val="en-US" w:eastAsia="zh-CN"/>
        </w:rPr>
        <w:t>部分；</w:t>
      </w:r>
      <w:r>
        <w:rPr>
          <w:rFonts w:hint="eastAsia"/>
        </w:rPr>
        <w:t>本项目铝模板招标采购量</w:t>
      </w:r>
      <w:r>
        <w:rPr>
          <w:rFonts w:hint="eastAsia"/>
          <w:lang w:val="en-US" w:eastAsia="zh-CN"/>
        </w:rPr>
        <w:t>约</w:t>
      </w:r>
      <w:r>
        <w:rPr>
          <w:rFonts w:hint="eastAsia"/>
        </w:rPr>
        <w:t>为</w:t>
      </w:r>
      <w:r>
        <w:rPr>
          <w:rFonts w:hint="eastAsia"/>
          <w:highlight w:val="none"/>
          <w:lang w:val="en-US" w:eastAsia="zh-CN"/>
        </w:rPr>
        <w:t>4450</w:t>
      </w:r>
      <w:r>
        <w:rPr>
          <w:rFonts w:hint="eastAsia"/>
          <w:highlight w:val="none"/>
        </w:rPr>
        <w:t>平方米</w:t>
      </w:r>
      <w:r>
        <w:rPr>
          <w:rFonts w:hint="eastAsia"/>
        </w:rPr>
        <w:t>，最终的采购量根据厂商的深化设计来定。</w:t>
      </w:r>
    </w:p>
    <w:p>
      <w:pPr>
        <w:spacing w:line="360" w:lineRule="auto"/>
        <w:ind w:firstLine="420" w:firstLineChars="200"/>
      </w:pPr>
      <w:r>
        <w:rPr>
          <w:rFonts w:hint="eastAsia"/>
        </w:rPr>
        <w:t>模板系统：拉片式铝合金；</w:t>
      </w:r>
    </w:p>
    <w:p>
      <w:pPr>
        <w:spacing w:line="360" w:lineRule="auto"/>
        <w:ind w:firstLine="420" w:firstLineChars="200"/>
      </w:pPr>
      <w:r>
        <w:rPr>
          <w:rFonts w:hint="eastAsia"/>
        </w:rPr>
        <w:t>材料型号：6061-T6</w:t>
      </w:r>
    </w:p>
    <w:bookmarkEnd w:id="75"/>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6" w:name="_Toc32210"/>
      <w:r>
        <w:rPr>
          <w:rFonts w:hint="eastAsia"/>
          <w:sz w:val="22"/>
          <w:szCs w:val="22"/>
          <w:lang w:val="en-US" w:eastAsia="zh-CN"/>
        </w:rPr>
        <w:t>2.投标人资格要求</w:t>
      </w:r>
      <w:bookmarkEnd w:id="76"/>
    </w:p>
    <w:p>
      <w:pPr>
        <w:pStyle w:val="15"/>
        <w:spacing w:line="360" w:lineRule="auto"/>
        <w:rPr>
          <w:rFonts w:hint="eastAsia" w:asciiTheme="minorHAnsi" w:hAnsiTheme="minorHAnsi" w:eastAsiaTheme="minorEastAsia" w:cstheme="minorBidi"/>
          <w:kern w:val="2"/>
          <w:sz w:val="21"/>
          <w:szCs w:val="24"/>
          <w:lang w:val="en-US" w:eastAsia="zh-CN" w:bidi="ar-SA"/>
        </w:rPr>
      </w:pPr>
      <w:r>
        <w:rPr>
          <w:rFonts w:hint="eastAsia" w:asciiTheme="minorHAnsi" w:hAnsiTheme="minorHAnsi" w:eastAsiaTheme="minorEastAsia" w:cstheme="minorBidi"/>
          <w:kern w:val="2"/>
          <w:sz w:val="21"/>
          <w:szCs w:val="24"/>
          <w:lang w:val="en-US" w:eastAsia="zh-CN" w:bidi="ar-SA"/>
        </w:rPr>
        <w:t>2.1 投标人必须在其所在国合法注册，具有独立法人资格，具有增值税一般纳税人资格，并持有制造商授权代理人的有效证件，从事类似工作3年以上。</w:t>
      </w:r>
    </w:p>
    <w:p>
      <w:pPr>
        <w:spacing w:line="360" w:lineRule="auto"/>
        <w:ind w:firstLine="420" w:firstLineChars="200"/>
      </w:pPr>
      <w:r>
        <w:rPr>
          <w:rFonts w:hint="eastAsia"/>
        </w:rPr>
        <w:t xml:space="preserve">2.2 </w:t>
      </w:r>
      <w:r>
        <w:rPr>
          <w:rFonts w:hint="eastAsia" w:cs="黑体" w:asciiTheme="minorEastAsia" w:hAnsiTheme="minorEastAsia" w:eastAsiaTheme="minorEastAsia"/>
          <w:bCs/>
          <w:kern w:val="2"/>
          <w:sz w:val="21"/>
          <w:szCs w:val="21"/>
        </w:rPr>
        <w:t>投标的物资生产商拥有相应的配套生产设施，生产工艺、装备符合国家产业发展的政策规定，产品质量符合国家标准要求；投标的销售商，从事类似工作3年以上，并具备所代理品牌合法有效授权及相应的存储条件。</w:t>
      </w:r>
    </w:p>
    <w:p>
      <w:pPr>
        <w:spacing w:line="360" w:lineRule="auto"/>
        <w:ind w:firstLine="420" w:firstLineChars="200"/>
      </w:pPr>
      <w:r>
        <w:rPr>
          <w:rFonts w:hint="eastAsia"/>
        </w:rPr>
        <w:t xml:space="preserve">2.3 </w:t>
      </w:r>
      <w:r>
        <w:rPr>
          <w:rFonts w:hint="eastAsia" w:cs="黑体" w:asciiTheme="minorEastAsia" w:hAnsiTheme="minorEastAsia"/>
          <w:bCs/>
          <w:szCs w:val="21"/>
        </w:rPr>
        <w:t>具有良好的财务状况。如投标人中标，须对支付材料款过程中办理手续所需的时间给予充分理解，在资金紧张阶段对支付时间给予充分理解；投标人需具备为中标金额垫资不小于60%现金流以上的垫资能力的企业。</w:t>
      </w:r>
    </w:p>
    <w:p>
      <w:pPr>
        <w:spacing w:line="360" w:lineRule="auto"/>
        <w:ind w:firstLine="420" w:firstLineChars="200"/>
      </w:pPr>
      <w:r>
        <w:rPr>
          <w:rFonts w:hint="eastAsia"/>
        </w:rPr>
        <w:t>2.</w:t>
      </w:r>
      <w:r>
        <w:rPr>
          <w:rFonts w:hint="eastAsia"/>
          <w:lang w:val="en-US" w:eastAsia="zh-CN"/>
        </w:rPr>
        <w:t>4</w:t>
      </w:r>
      <w:r>
        <w:rPr>
          <w:rFonts w:hint="eastAsia"/>
        </w:rPr>
        <w:t xml:space="preserve"> </w:t>
      </w:r>
      <w:r>
        <w:rPr>
          <w:rFonts w:hint="eastAsia" w:cs="黑体" w:asciiTheme="minorEastAsia" w:hAnsiTheme="minorEastAsia"/>
          <w:bCs/>
          <w:szCs w:val="21"/>
        </w:rPr>
        <w:t>供货信誉良好，无不良记录、无不良评价、供货过程中未发生以次充好、违反招标文件和供货合同条款的要求，未受过市级以上行政部门的处罚，未和招标人发生过纠纷、诉讼、仲裁案件等。如有必要，招标人有权对投标文件中有关内容进行调查核实，投标人应给予配合。招标人有权忽略未对投标人履行合同能力构成实质性影响的微小偏差。如果在投标有效期内，对于受到通报批评或被列入施工当地 (交通主管部门)黑名单的，招标人有权取消其投标资格；已经中标者，招标人有权取消其中标资格。</w:t>
      </w:r>
    </w:p>
    <w:p>
      <w:pPr>
        <w:spacing w:line="360" w:lineRule="auto"/>
        <w:ind w:firstLine="420" w:firstLineChars="200"/>
      </w:pPr>
      <w:r>
        <w:rPr>
          <w:rFonts w:hint="eastAsia"/>
        </w:rPr>
        <w:t>2.</w:t>
      </w:r>
      <w:r>
        <w:rPr>
          <w:rFonts w:hint="eastAsia"/>
          <w:lang w:val="en-US" w:eastAsia="zh-CN"/>
        </w:rPr>
        <w:t>5</w:t>
      </w:r>
      <w:r>
        <w:rPr>
          <w:rFonts w:hint="eastAsia"/>
        </w:rPr>
        <w:t xml:space="preserve"> </w:t>
      </w:r>
      <w:r>
        <w:rPr>
          <w:rFonts w:hint="eastAsia" w:cs="黑体" w:asciiTheme="minorEastAsia" w:hAnsiTheme="minorEastAsia" w:eastAsiaTheme="minorEastAsia"/>
          <w:bCs/>
          <w:kern w:val="2"/>
          <w:sz w:val="21"/>
          <w:szCs w:val="21"/>
        </w:rPr>
        <w:t>投标人必须保证中标后直接供应，否则视为中标人违约，投标人应确保提供的相关资料齐全并且真实有效，否则承担一切法律责任。</w:t>
      </w:r>
    </w:p>
    <w:p>
      <w:pPr>
        <w:spacing w:line="360" w:lineRule="auto"/>
        <w:ind w:firstLine="420" w:firstLineChars="200"/>
        <w:rPr>
          <w:rFonts w:hint="eastAsia" w:eastAsiaTheme="minorEastAsia"/>
          <w:b/>
          <w:bCs/>
          <w:lang w:eastAsia="zh-CN"/>
        </w:rPr>
      </w:pPr>
      <w:r>
        <w:rPr>
          <w:rFonts w:hint="eastAsia"/>
          <w:b w:val="0"/>
          <w:bCs w:val="0"/>
        </w:rPr>
        <w:t>2.</w:t>
      </w:r>
      <w:r>
        <w:rPr>
          <w:rFonts w:hint="eastAsia"/>
          <w:b w:val="0"/>
          <w:bCs w:val="0"/>
          <w:lang w:val="en-US" w:eastAsia="zh-CN"/>
        </w:rPr>
        <w:t>6</w:t>
      </w:r>
      <w:r>
        <w:rPr>
          <w:rFonts w:hint="eastAsia"/>
          <w:b/>
          <w:bCs/>
        </w:rPr>
        <w:t xml:space="preserve"> </w:t>
      </w:r>
      <w:r>
        <w:rPr>
          <w:rFonts w:hint="eastAsia" w:cs="黑体" w:asciiTheme="minorEastAsia" w:hAnsiTheme="minorEastAsia" w:eastAsiaTheme="minorEastAsia"/>
          <w:b w:val="0"/>
          <w:bCs w:val="0"/>
          <w:kern w:val="2"/>
          <w:sz w:val="21"/>
          <w:szCs w:val="21"/>
        </w:rPr>
        <w:t>本次招标不接受联合体投标，投标人应为独自参加投标的生产商或销售商。最终供应物资数量以合同执行期间的实际采购量为准</w:t>
      </w:r>
      <w:r>
        <w:rPr>
          <w:rFonts w:hint="eastAsia" w:cs="黑体" w:asciiTheme="minorEastAsia" w:hAnsiTheme="minorEastAsia"/>
          <w:b w:val="0"/>
          <w:bCs w:val="0"/>
          <w:kern w:val="2"/>
          <w:sz w:val="21"/>
          <w:szCs w:val="21"/>
          <w:lang w:eastAsia="zh-CN"/>
        </w:rPr>
        <w:t>。</w:t>
      </w:r>
    </w:p>
    <w:p>
      <w:pPr>
        <w:pStyle w:val="15"/>
        <w:spacing w:line="360" w:lineRule="auto"/>
      </w:pPr>
      <w:r>
        <w:rPr>
          <w:rFonts w:hint="eastAsia" w:asciiTheme="minorHAnsi" w:hAnsiTheme="minorHAnsi" w:eastAsiaTheme="minorEastAsia" w:cstheme="minorBidi"/>
          <w:kern w:val="2"/>
          <w:sz w:val="21"/>
          <w:szCs w:val="24"/>
          <w:lang w:val="en-US" w:eastAsia="zh-CN" w:bidi="ar-SA"/>
        </w:rPr>
        <w:t>2.7</w:t>
      </w:r>
      <w:r>
        <w:rPr>
          <w:rFonts w:hint="eastAsia" w:cs="黑体" w:asciiTheme="minorEastAsia" w:hAnsiTheme="minorEastAsia" w:eastAsiaTheme="minorEastAsia"/>
          <w:bCs/>
          <w:kern w:val="2"/>
          <w:sz w:val="21"/>
          <w:szCs w:val="21"/>
        </w:rPr>
        <w:t>资格审查。本次招标采取“资格后审”，即在评标时对投标人资格进行符合性审查，不符合投标文件要求的按废标处理。</w:t>
      </w:r>
    </w:p>
    <w:p>
      <w:pPr>
        <w:spacing w:line="360" w:lineRule="auto"/>
        <w:rPr>
          <w:b/>
          <w:bCs/>
          <w:sz w:val="24"/>
          <w:szCs w:val="32"/>
        </w:rPr>
      </w:pP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7" w:name="_Toc10039"/>
      <w:r>
        <w:rPr>
          <w:rFonts w:hint="eastAsia"/>
          <w:sz w:val="22"/>
          <w:szCs w:val="22"/>
          <w:lang w:val="en-US" w:eastAsia="zh-CN"/>
        </w:rPr>
        <w:t>3.物资名称、规格型号及数量标 ：</w:t>
      </w:r>
      <w:bookmarkEnd w:id="77"/>
    </w:p>
    <w:tbl>
      <w:tblPr>
        <w:tblStyle w:val="16"/>
        <w:tblpPr w:leftFromText="180" w:rightFromText="180" w:vertAnchor="text" w:horzAnchor="page" w:tblpXSpec="center" w:tblpY="289"/>
        <w:tblOverlap w:val="never"/>
        <w:tblW w:w="9800"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800"/>
        <w:gridCol w:w="1092"/>
        <w:gridCol w:w="1164"/>
        <w:gridCol w:w="2215"/>
        <w:gridCol w:w="735"/>
        <w:gridCol w:w="651"/>
        <w:gridCol w:w="1135"/>
        <w:gridCol w:w="2008"/>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25" w:hRule="atLeast"/>
          <w:jc w:val="center"/>
        </w:trPr>
        <w:tc>
          <w:tcPr>
            <w:tcW w:w="800" w:type="dxa"/>
            <w:tcBorders>
              <w:bottom w:val="single" w:color="auto" w:sz="4" w:space="0"/>
              <w:right w:val="single" w:color="auto" w:sz="4" w:space="0"/>
            </w:tcBorders>
            <w:vAlign w:val="center"/>
          </w:tcPr>
          <w:p>
            <w:pPr>
              <w:widowControl/>
              <w:spacing w:line="360" w:lineRule="auto"/>
              <w:jc w:val="both"/>
              <w:rPr>
                <w:rFonts w:ascii="Calibri" w:hAnsi="Calibri" w:cs="宋体"/>
                <w:b/>
                <w:bCs/>
                <w:kern w:val="0"/>
              </w:rPr>
            </w:pPr>
            <w:bookmarkStart w:id="78" w:name="OLE_LINK4"/>
            <w:r>
              <w:rPr>
                <w:rFonts w:hint="eastAsia" w:ascii="Calibri" w:hAnsi="Calibri" w:cs="宋体"/>
                <w:b/>
                <w:bCs/>
                <w:kern w:val="0"/>
              </w:rPr>
              <w:t>序号</w:t>
            </w:r>
          </w:p>
          <w:p>
            <w:pPr>
              <w:spacing w:line="360" w:lineRule="auto"/>
              <w:jc w:val="both"/>
              <w:rPr>
                <w:rFonts w:ascii="Calibri" w:hAnsi="Calibri" w:cs="宋体"/>
                <w:b/>
                <w:bCs/>
                <w:kern w:val="0"/>
              </w:rPr>
            </w:pPr>
          </w:p>
        </w:tc>
        <w:tc>
          <w:tcPr>
            <w:tcW w:w="1092" w:type="dxa"/>
            <w:tcBorders>
              <w:left w:val="nil"/>
              <w:bottom w:val="single" w:color="auto" w:sz="4" w:space="0"/>
              <w:right w:val="single" w:color="auto" w:sz="4" w:space="0"/>
            </w:tcBorders>
            <w:vAlign w:val="center"/>
          </w:tcPr>
          <w:p>
            <w:pPr>
              <w:widowControl/>
              <w:spacing w:line="360" w:lineRule="auto"/>
              <w:jc w:val="both"/>
              <w:rPr>
                <w:rFonts w:ascii="Calibri" w:hAnsi="Calibri" w:cs="宋体"/>
                <w:b/>
                <w:bCs/>
                <w:kern w:val="0"/>
              </w:rPr>
            </w:pPr>
            <w:r>
              <w:rPr>
                <w:rFonts w:hint="eastAsia" w:ascii="Calibri" w:hAnsi="Calibri" w:cs="宋体"/>
                <w:b/>
                <w:bCs/>
                <w:kern w:val="0"/>
              </w:rPr>
              <w:t>物资名称</w:t>
            </w:r>
          </w:p>
          <w:p>
            <w:pPr>
              <w:spacing w:line="360" w:lineRule="auto"/>
              <w:jc w:val="both"/>
              <w:rPr>
                <w:rFonts w:ascii="Calibri" w:hAnsi="Calibri" w:cs="宋体"/>
                <w:b/>
                <w:bCs/>
                <w:kern w:val="0"/>
              </w:rPr>
            </w:pPr>
          </w:p>
        </w:tc>
        <w:tc>
          <w:tcPr>
            <w:tcW w:w="1164" w:type="dxa"/>
            <w:tcBorders>
              <w:left w:val="nil"/>
              <w:bottom w:val="single" w:color="auto" w:sz="4" w:space="0"/>
              <w:right w:val="single" w:color="auto" w:sz="4" w:space="0"/>
            </w:tcBorders>
            <w:vAlign w:val="center"/>
          </w:tcPr>
          <w:p>
            <w:pPr>
              <w:widowControl/>
              <w:spacing w:line="360" w:lineRule="auto"/>
              <w:jc w:val="both"/>
              <w:rPr>
                <w:rFonts w:ascii="Calibri" w:hAnsi="Calibri" w:cs="宋体"/>
                <w:b/>
                <w:bCs/>
                <w:kern w:val="0"/>
              </w:rPr>
            </w:pPr>
            <w:r>
              <w:rPr>
                <w:rFonts w:hint="eastAsia" w:ascii="Calibri" w:hAnsi="Calibri" w:cs="宋体"/>
                <w:b/>
                <w:bCs/>
                <w:kern w:val="0"/>
              </w:rPr>
              <w:t>规格型号</w:t>
            </w:r>
          </w:p>
          <w:p>
            <w:pPr>
              <w:spacing w:line="360" w:lineRule="auto"/>
              <w:jc w:val="both"/>
              <w:rPr>
                <w:rFonts w:ascii="Calibri" w:hAnsi="Calibri" w:cs="宋体"/>
                <w:b/>
                <w:bCs/>
                <w:kern w:val="0"/>
              </w:rPr>
            </w:pPr>
          </w:p>
        </w:tc>
        <w:tc>
          <w:tcPr>
            <w:tcW w:w="2215" w:type="dxa"/>
            <w:tcBorders>
              <w:left w:val="nil"/>
              <w:bottom w:val="single" w:color="000000" w:sz="4" w:space="0"/>
              <w:right w:val="single" w:color="auto" w:sz="4" w:space="0"/>
            </w:tcBorders>
            <w:vAlign w:val="center"/>
          </w:tcPr>
          <w:p>
            <w:pPr>
              <w:widowControl/>
              <w:spacing w:line="360" w:lineRule="auto"/>
              <w:ind w:firstLine="422" w:firstLineChars="200"/>
              <w:jc w:val="both"/>
              <w:rPr>
                <w:rFonts w:ascii="Calibri" w:hAnsi="Calibri" w:cs="宋体"/>
                <w:b/>
                <w:bCs/>
                <w:kern w:val="0"/>
              </w:rPr>
            </w:pPr>
            <w:r>
              <w:rPr>
                <w:rFonts w:hint="eastAsia" w:ascii="Calibri" w:hAnsi="Calibri" w:cs="宋体"/>
                <w:b/>
                <w:bCs/>
                <w:kern w:val="0"/>
              </w:rPr>
              <w:t>规范要求</w:t>
            </w:r>
          </w:p>
          <w:p>
            <w:pPr>
              <w:spacing w:line="360" w:lineRule="auto"/>
              <w:ind w:firstLine="422" w:firstLineChars="200"/>
              <w:jc w:val="both"/>
              <w:rPr>
                <w:rFonts w:ascii="Calibri" w:hAnsi="Calibri" w:cs="宋体"/>
                <w:b/>
                <w:bCs/>
                <w:kern w:val="0"/>
              </w:rPr>
            </w:pPr>
          </w:p>
        </w:tc>
        <w:tc>
          <w:tcPr>
            <w:tcW w:w="735" w:type="dxa"/>
            <w:tcBorders>
              <w:left w:val="nil"/>
              <w:bottom w:val="single" w:color="auto" w:sz="4" w:space="0"/>
              <w:right w:val="single" w:color="auto" w:sz="4" w:space="0"/>
            </w:tcBorders>
            <w:vAlign w:val="center"/>
          </w:tcPr>
          <w:p>
            <w:pPr>
              <w:spacing w:line="360" w:lineRule="auto"/>
              <w:jc w:val="left"/>
              <w:rPr>
                <w:rFonts w:ascii="Calibri" w:hAnsi="Calibri" w:cs="宋体"/>
                <w:b/>
                <w:bCs/>
                <w:kern w:val="0"/>
                <w:highlight w:val="none"/>
              </w:rPr>
            </w:pPr>
            <w:r>
              <w:rPr>
                <w:rFonts w:hint="eastAsia" w:ascii="Calibri" w:hAnsi="Calibri" w:cs="宋体"/>
                <w:b/>
                <w:bCs/>
                <w:kern w:val="0"/>
                <w:highlight w:val="none"/>
                <w:lang w:val="en-US" w:eastAsia="zh-CN"/>
              </w:rPr>
              <w:t>单位</w:t>
            </w:r>
          </w:p>
        </w:tc>
        <w:tc>
          <w:tcPr>
            <w:tcW w:w="651" w:type="dxa"/>
            <w:tcBorders>
              <w:left w:val="nil"/>
              <w:bottom w:val="single" w:color="auto" w:sz="4" w:space="0"/>
              <w:right w:val="single" w:color="auto" w:sz="4" w:space="0"/>
            </w:tcBorders>
            <w:vAlign w:val="center"/>
          </w:tcPr>
          <w:p>
            <w:pPr>
              <w:widowControl/>
              <w:spacing w:line="360" w:lineRule="auto"/>
              <w:jc w:val="both"/>
              <w:rPr>
                <w:rFonts w:ascii="Calibri" w:hAnsi="Calibri" w:cs="宋体"/>
                <w:b/>
                <w:bCs/>
                <w:kern w:val="0"/>
                <w:highlight w:val="none"/>
              </w:rPr>
            </w:pPr>
            <w:r>
              <w:rPr>
                <w:rFonts w:hint="eastAsia" w:ascii="Calibri" w:hAnsi="Calibri" w:cs="宋体"/>
                <w:b/>
                <w:bCs/>
                <w:kern w:val="0"/>
                <w:highlight w:val="none"/>
              </w:rPr>
              <w:t>数量</w:t>
            </w:r>
          </w:p>
          <w:p>
            <w:pPr>
              <w:spacing w:line="360" w:lineRule="auto"/>
              <w:jc w:val="both"/>
              <w:rPr>
                <w:rFonts w:ascii="Calibri" w:hAnsi="Calibri" w:cs="宋体"/>
                <w:b/>
                <w:bCs/>
                <w:kern w:val="0"/>
                <w:highlight w:val="none"/>
              </w:rPr>
            </w:pPr>
          </w:p>
        </w:tc>
        <w:tc>
          <w:tcPr>
            <w:tcW w:w="1135" w:type="dxa"/>
            <w:tcBorders>
              <w:left w:val="nil"/>
              <w:bottom w:val="single" w:color="auto" w:sz="4" w:space="0"/>
              <w:right w:val="single" w:color="auto" w:sz="4" w:space="0"/>
            </w:tcBorders>
            <w:vAlign w:val="center"/>
          </w:tcPr>
          <w:p>
            <w:pPr>
              <w:spacing w:line="360" w:lineRule="auto"/>
              <w:jc w:val="both"/>
              <w:rPr>
                <w:rFonts w:ascii="Calibri" w:hAnsi="Calibri" w:cs="宋体"/>
                <w:b/>
                <w:bCs/>
                <w:color w:val="000000"/>
                <w:kern w:val="0"/>
              </w:rPr>
            </w:pPr>
            <w:r>
              <w:rPr>
                <w:rFonts w:hint="eastAsia" w:ascii="Calibri" w:hAnsi="Calibri" w:cs="宋体"/>
                <w:b/>
                <w:bCs/>
                <w:color w:val="000000"/>
                <w:kern w:val="0"/>
              </w:rPr>
              <w:t>交货地</w:t>
            </w:r>
            <w:r>
              <w:rPr>
                <w:rFonts w:hint="eastAsia" w:ascii="Calibri" w:hAnsi="Calibri" w:cs="宋体"/>
                <w:b/>
                <w:bCs/>
                <w:color w:val="000000"/>
                <w:kern w:val="0"/>
                <w:lang w:val="en-US" w:eastAsia="zh-CN"/>
              </w:rPr>
              <w:t>点</w:t>
            </w:r>
          </w:p>
        </w:tc>
        <w:tc>
          <w:tcPr>
            <w:tcW w:w="2008" w:type="dxa"/>
            <w:tcBorders>
              <w:left w:val="nil"/>
              <w:bottom w:val="single" w:color="auto" w:sz="4" w:space="0"/>
            </w:tcBorders>
            <w:vAlign w:val="center"/>
          </w:tcPr>
          <w:p>
            <w:pPr>
              <w:widowControl/>
              <w:spacing w:line="360" w:lineRule="auto"/>
              <w:jc w:val="both"/>
              <w:rPr>
                <w:rFonts w:ascii="Calibri" w:hAnsi="Calibri" w:cs="宋体"/>
                <w:b/>
                <w:bCs/>
                <w:color w:val="000000"/>
                <w:kern w:val="0"/>
              </w:rPr>
            </w:pPr>
            <w:r>
              <w:rPr>
                <w:rFonts w:hint="eastAsia" w:ascii="Calibri" w:hAnsi="Calibri" w:cs="宋体"/>
                <w:b/>
                <w:bCs/>
                <w:color w:val="000000"/>
                <w:kern w:val="0"/>
              </w:rPr>
              <w:t>交货条件</w:t>
            </w:r>
          </w:p>
          <w:p>
            <w:pPr>
              <w:spacing w:line="360" w:lineRule="auto"/>
              <w:jc w:val="both"/>
              <w:rPr>
                <w:rFonts w:ascii="Calibri" w:hAnsi="Calibri" w:cs="宋体"/>
                <w:b/>
                <w:bCs/>
                <w:color w:val="000000"/>
                <w:kern w:val="0"/>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355" w:hRule="atLeast"/>
          <w:jc w:val="center"/>
        </w:trPr>
        <w:tc>
          <w:tcPr>
            <w:tcW w:w="800" w:type="dxa"/>
            <w:tcBorders>
              <w:top w:val="nil"/>
              <w:bottom w:val="single" w:color="auto" w:sz="4" w:space="0"/>
              <w:right w:val="single" w:color="auto" w:sz="4" w:space="0"/>
            </w:tcBorders>
            <w:vAlign w:val="center"/>
          </w:tcPr>
          <w:p>
            <w:pPr>
              <w:widowControl/>
              <w:spacing w:line="360" w:lineRule="auto"/>
              <w:ind w:firstLine="420" w:firstLineChars="200"/>
              <w:jc w:val="left"/>
              <w:rPr>
                <w:rFonts w:ascii="Calibri" w:hAnsi="Calibri"/>
                <w:kern w:val="0"/>
              </w:rPr>
            </w:pPr>
            <w:r>
              <w:rPr>
                <w:rFonts w:ascii="Calibri" w:hAnsi="Calibri"/>
                <w:kern w:val="0"/>
              </w:rPr>
              <w:t>1</w:t>
            </w:r>
          </w:p>
        </w:tc>
        <w:tc>
          <w:tcPr>
            <w:tcW w:w="1092" w:type="dxa"/>
            <w:tcBorders>
              <w:top w:val="nil"/>
              <w:left w:val="nil"/>
              <w:bottom w:val="single" w:color="auto" w:sz="4" w:space="0"/>
              <w:right w:val="single" w:color="auto" w:sz="4" w:space="0"/>
            </w:tcBorders>
            <w:vAlign w:val="center"/>
          </w:tcPr>
          <w:p>
            <w:pPr>
              <w:spacing w:line="360" w:lineRule="auto"/>
              <w:jc w:val="left"/>
              <w:rPr>
                <w:rFonts w:hint="default" w:ascii="Calibri" w:hAnsi="Calibri" w:cs="宋体" w:eastAsiaTheme="minorEastAsia"/>
                <w:color w:val="000000"/>
                <w:kern w:val="0"/>
                <w:lang w:val="en-US" w:eastAsia="zh-CN"/>
              </w:rPr>
            </w:pPr>
            <w:r>
              <w:rPr>
                <w:rFonts w:hint="eastAsia" w:ascii="Calibri" w:hAnsi="Calibri" w:cs="宋体"/>
                <w:color w:val="000000"/>
                <w:kern w:val="0"/>
              </w:rPr>
              <w:t>铝合金模板</w:t>
            </w:r>
            <w:r>
              <w:rPr>
                <w:rFonts w:hint="eastAsia" w:ascii="Calibri" w:hAnsi="Calibri" w:cs="宋体"/>
                <w:color w:val="000000"/>
                <w:kern w:val="0"/>
                <w:lang w:val="en-US" w:eastAsia="zh-CN"/>
              </w:rPr>
              <w:t>-墙模</w:t>
            </w:r>
          </w:p>
        </w:tc>
        <w:tc>
          <w:tcPr>
            <w:tcW w:w="1164" w:type="dxa"/>
            <w:vMerge w:val="restart"/>
            <w:tcBorders>
              <w:top w:val="nil"/>
              <w:left w:val="nil"/>
              <w:right w:val="single" w:color="auto" w:sz="4" w:space="0"/>
            </w:tcBorders>
            <w:vAlign w:val="center"/>
          </w:tcPr>
          <w:p>
            <w:pPr>
              <w:widowControl/>
              <w:spacing w:line="360" w:lineRule="auto"/>
              <w:jc w:val="left"/>
              <w:rPr>
                <w:rFonts w:hint="eastAsia" w:ascii="Calibri" w:hAnsi="Calibri" w:cs="宋体"/>
                <w:color w:val="000000"/>
                <w:kern w:val="0"/>
              </w:rPr>
            </w:pPr>
          </w:p>
          <w:p>
            <w:pPr>
              <w:widowControl/>
              <w:spacing w:line="360" w:lineRule="auto"/>
              <w:jc w:val="left"/>
              <w:rPr>
                <w:rFonts w:ascii="Calibri" w:hAnsi="Calibri" w:cs="宋体"/>
                <w:color w:val="000000"/>
                <w:kern w:val="0"/>
              </w:rPr>
            </w:pPr>
            <w:r>
              <w:rPr>
                <w:rFonts w:hint="eastAsia" w:ascii="Calibri" w:hAnsi="Calibri" w:cs="宋体"/>
                <w:color w:val="000000"/>
                <w:kern w:val="0"/>
              </w:rPr>
              <w:t>模板系统：拉片式铝合金；</w:t>
            </w:r>
          </w:p>
          <w:p>
            <w:pPr>
              <w:widowControl/>
              <w:spacing w:line="360" w:lineRule="auto"/>
              <w:jc w:val="left"/>
              <w:rPr>
                <w:rFonts w:ascii="Calibri" w:hAnsi="Calibri" w:cs="宋体"/>
                <w:color w:val="000000"/>
                <w:kern w:val="0"/>
              </w:rPr>
            </w:pPr>
            <w:r>
              <w:rPr>
                <w:rFonts w:hint="eastAsia" w:ascii="Calibri" w:hAnsi="Calibri" w:cs="宋体"/>
                <w:color w:val="000000"/>
                <w:kern w:val="0"/>
              </w:rPr>
              <w:t>材料型号：</w:t>
            </w:r>
            <w:r>
              <w:rPr>
                <w:rFonts w:ascii="Calibri" w:hAnsi="Calibri" w:cs="宋体"/>
                <w:color w:val="000000"/>
                <w:kern w:val="0"/>
              </w:rPr>
              <w:t>6061-T6</w:t>
            </w:r>
          </w:p>
          <w:p>
            <w:pPr>
              <w:spacing w:line="360" w:lineRule="auto"/>
              <w:ind w:firstLine="420" w:firstLineChars="200"/>
              <w:jc w:val="left"/>
              <w:rPr>
                <w:rFonts w:ascii="Calibri" w:hAnsi="Calibri" w:cs="宋体"/>
                <w:color w:val="000000"/>
                <w:kern w:val="0"/>
              </w:rPr>
            </w:pPr>
          </w:p>
          <w:p>
            <w:pPr>
              <w:spacing w:line="360" w:lineRule="auto"/>
              <w:ind w:firstLine="420" w:firstLineChars="200"/>
              <w:jc w:val="left"/>
              <w:rPr>
                <w:rFonts w:ascii="Calibri" w:hAnsi="Calibri" w:cs="宋体" w:eastAsiaTheme="minorEastAsia"/>
                <w:color w:val="000000"/>
                <w:kern w:val="0"/>
                <w:sz w:val="21"/>
                <w:szCs w:val="24"/>
                <w:lang w:val="en-US" w:eastAsia="zh-CN" w:bidi="ar-SA"/>
              </w:rPr>
            </w:pPr>
          </w:p>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restart"/>
            <w:tcBorders>
              <w:top w:val="nil"/>
              <w:left w:val="single" w:color="auto" w:sz="4" w:space="0"/>
              <w:right w:val="single" w:color="auto" w:sz="4" w:space="0"/>
            </w:tcBorders>
            <w:vAlign w:val="center"/>
          </w:tcPr>
          <w:p>
            <w:pPr>
              <w:widowControl/>
              <w:spacing w:line="360" w:lineRule="auto"/>
              <w:jc w:val="left"/>
              <w:rPr>
                <w:rFonts w:ascii="Calibri" w:hAnsi="Calibri" w:cs="宋体"/>
                <w:color w:val="000000"/>
                <w:kern w:val="0"/>
              </w:rPr>
            </w:pPr>
            <w:r>
              <w:rPr>
                <w:rFonts w:ascii="Calibri" w:hAnsi="Calibri" w:cs="宋体"/>
                <w:color w:val="000000"/>
                <w:kern w:val="0"/>
              </w:rPr>
              <w:t>1</w:t>
            </w:r>
            <w:r>
              <w:rPr>
                <w:rFonts w:hint="eastAsia" w:ascii="Calibri" w:hAnsi="Calibri" w:cs="宋体"/>
                <w:color w:val="000000"/>
                <w:kern w:val="0"/>
              </w:rPr>
              <w:t>，含墙身、楼面及</w:t>
            </w:r>
            <w:r>
              <w:rPr>
                <w:rFonts w:hint="eastAsia" w:ascii="Calibri" w:hAnsi="Calibri" w:cs="宋体"/>
                <w:color w:val="000000"/>
                <w:kern w:val="0"/>
                <w:lang w:val="en-US" w:eastAsia="zh-CN"/>
              </w:rPr>
              <w:t>SS</w:t>
            </w:r>
            <w:r>
              <w:rPr>
                <w:rFonts w:hint="eastAsia" w:ascii="Calibri" w:hAnsi="Calibri" w:cs="宋体"/>
                <w:color w:val="000000"/>
                <w:kern w:val="0"/>
              </w:rPr>
              <w:t>头及配件、粱与</w:t>
            </w:r>
            <w:r>
              <w:rPr>
                <w:rFonts w:ascii="Calibri" w:hAnsi="Calibri" w:cs="宋体"/>
                <w:color w:val="000000"/>
                <w:kern w:val="0"/>
              </w:rPr>
              <w:t>BP</w:t>
            </w:r>
            <w:r>
              <w:rPr>
                <w:rFonts w:hint="eastAsia" w:ascii="Calibri" w:hAnsi="Calibri" w:cs="宋体"/>
                <w:color w:val="000000"/>
                <w:kern w:val="0"/>
              </w:rPr>
              <w:t>头与配件、门窗及配件、楼梯、柱子及配件；</w:t>
            </w:r>
          </w:p>
          <w:p>
            <w:pPr>
              <w:widowControl/>
              <w:spacing w:line="360" w:lineRule="auto"/>
              <w:jc w:val="left"/>
              <w:rPr>
                <w:rFonts w:ascii="Calibri" w:hAnsi="Calibri" w:cs="宋体"/>
                <w:color w:val="000000"/>
                <w:kern w:val="0"/>
              </w:rPr>
            </w:pPr>
            <w:r>
              <w:rPr>
                <w:rFonts w:ascii="Calibri" w:hAnsi="Calibri" w:cs="宋体"/>
                <w:color w:val="000000"/>
                <w:kern w:val="0"/>
              </w:rPr>
              <w:t>2</w:t>
            </w:r>
            <w:r>
              <w:rPr>
                <w:rFonts w:hint="eastAsia" w:ascii="Calibri" w:hAnsi="Calibri" w:cs="宋体"/>
                <w:color w:val="000000"/>
                <w:kern w:val="0"/>
              </w:rPr>
              <w:t>，含非标准层铝模板；</w:t>
            </w:r>
          </w:p>
          <w:p>
            <w:pPr>
              <w:spacing w:line="360" w:lineRule="auto"/>
              <w:jc w:val="left"/>
              <w:rPr>
                <w:rFonts w:hint="eastAsia" w:ascii="Calibri" w:hAnsi="Calibri" w:eastAsiaTheme="minorEastAsia" w:cstheme="minorBidi"/>
                <w:kern w:val="2"/>
                <w:sz w:val="21"/>
                <w:szCs w:val="22"/>
                <w:lang w:val="en-US" w:eastAsia="zh-CN" w:bidi="ar-SA"/>
              </w:rPr>
            </w:pPr>
            <w:r>
              <w:rPr>
                <w:rFonts w:ascii="Calibri" w:hAnsi="Calibri" w:cs="宋体"/>
                <w:color w:val="000000"/>
                <w:kern w:val="0"/>
              </w:rPr>
              <w:t>3</w:t>
            </w:r>
            <w:r>
              <w:rPr>
                <w:rFonts w:hint="eastAsia" w:ascii="Calibri" w:hAnsi="Calibri" w:cs="宋体"/>
                <w:color w:val="000000"/>
                <w:kern w:val="0"/>
              </w:rPr>
              <w:t>，含各类拉片、销钉等五金配件</w:t>
            </w:r>
            <w:r>
              <w:rPr>
                <w:rFonts w:hint="eastAsia" w:ascii="Calibri" w:hAnsi="Calibri" w:cs="宋体"/>
                <w:color w:val="000000"/>
                <w:kern w:val="0"/>
                <w:lang w:eastAsia="zh-CN"/>
              </w:rPr>
              <w:t>。</w:t>
            </w:r>
          </w:p>
        </w:tc>
        <w:tc>
          <w:tcPr>
            <w:tcW w:w="735" w:type="dxa"/>
            <w:vMerge w:val="restart"/>
            <w:tcBorders>
              <w:top w:val="nil"/>
              <w:left w:val="nil"/>
              <w:right w:val="single" w:color="auto" w:sz="4" w:space="0"/>
            </w:tcBorders>
            <w:vAlign w:val="center"/>
          </w:tcPr>
          <w:p>
            <w:pPr>
              <w:spacing w:line="360" w:lineRule="auto"/>
              <w:ind w:firstLine="210" w:firstLineChars="100"/>
              <w:jc w:val="left"/>
              <w:rPr>
                <w:rFonts w:hint="default" w:ascii="Calibri" w:hAnsi="Calibri" w:eastAsiaTheme="minorEastAsia" w:cstheme="minorBidi"/>
                <w:kern w:val="0"/>
                <w:sz w:val="21"/>
                <w:szCs w:val="24"/>
                <w:lang w:val="en-US" w:eastAsia="zh-CN" w:bidi="ar-SA"/>
              </w:rPr>
            </w:pPr>
            <w:r>
              <w:rPr>
                <w:rFonts w:hint="eastAsia" w:ascii="Calibri" w:hAnsi="Calibri" w:cstheme="minorBidi"/>
                <w:kern w:val="0"/>
                <w:sz w:val="21"/>
                <w:szCs w:val="24"/>
                <w:lang w:val="en-US" w:eastAsia="zh-CN" w:bidi="ar-SA"/>
              </w:rPr>
              <w:t>套</w:t>
            </w:r>
          </w:p>
        </w:tc>
        <w:tc>
          <w:tcPr>
            <w:tcW w:w="651" w:type="dxa"/>
            <w:tcBorders>
              <w:top w:val="nil"/>
              <w:left w:val="nil"/>
              <w:bottom w:val="single" w:color="auto" w:sz="4" w:space="0"/>
              <w:right w:val="single" w:color="auto" w:sz="4" w:space="0"/>
            </w:tcBorders>
            <w:vAlign w:val="center"/>
          </w:tcPr>
          <w:p>
            <w:pPr>
              <w:widowControl/>
              <w:spacing w:line="360" w:lineRule="auto"/>
              <w:jc w:val="left"/>
              <w:rPr>
                <w:rFonts w:hint="default" w:ascii="Calibri" w:hAnsi="Calibri" w:cs="宋体" w:eastAsiaTheme="minorEastAsia"/>
                <w:color w:val="000000"/>
                <w:kern w:val="0"/>
                <w:lang w:val="en-US" w:eastAsia="zh-CN"/>
              </w:rPr>
            </w:pPr>
            <w:r>
              <w:rPr>
                <w:rFonts w:hint="eastAsia" w:ascii="Calibri" w:hAnsi="Calibri" w:cs="宋体"/>
                <w:color w:val="000000"/>
                <w:kern w:val="0"/>
                <w:lang w:val="en-US" w:eastAsia="zh-CN"/>
              </w:rPr>
              <w:t>10</w:t>
            </w:r>
          </w:p>
        </w:tc>
        <w:tc>
          <w:tcPr>
            <w:tcW w:w="1135" w:type="dxa"/>
            <w:vMerge w:val="restart"/>
            <w:tcBorders>
              <w:top w:val="nil"/>
              <w:left w:val="single" w:color="auto" w:sz="4" w:space="0"/>
              <w:right w:val="single" w:color="auto" w:sz="4" w:space="0"/>
            </w:tcBorders>
            <w:vAlign w:val="center"/>
          </w:tcPr>
          <w:p>
            <w:pPr>
              <w:spacing w:line="360" w:lineRule="auto"/>
              <w:jc w:val="left"/>
              <w:rPr>
                <w:rFonts w:hint="eastAsia" w:ascii="Calibri" w:hAnsi="Calibri" w:cs="宋体"/>
                <w:kern w:val="0"/>
              </w:rPr>
            </w:pPr>
            <w:r>
              <w:rPr>
                <w:rFonts w:hint="eastAsia" w:ascii="Calibri" w:hAnsi="Calibri" w:cs="宋体"/>
                <w:kern w:val="0"/>
              </w:rPr>
              <w:t>国内</w:t>
            </w:r>
            <w:r>
              <w:rPr>
                <w:rFonts w:hint="eastAsia" w:ascii="Calibri" w:hAnsi="Calibri" w:cs="宋体"/>
                <w:kern w:val="0"/>
                <w:lang w:val="en-US" w:eastAsia="zh-CN"/>
              </w:rPr>
              <w:t>工厂</w:t>
            </w:r>
          </w:p>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restart"/>
            <w:tcBorders>
              <w:top w:val="nil"/>
              <w:left w:val="single" w:color="auto" w:sz="4" w:space="0"/>
            </w:tcBorders>
            <w:vAlign w:val="center"/>
          </w:tcPr>
          <w:p>
            <w:pPr>
              <w:widowControl/>
              <w:spacing w:line="360" w:lineRule="auto"/>
              <w:jc w:val="left"/>
              <w:rPr>
                <w:rFonts w:ascii="Calibri" w:hAnsi="Calibri" w:cs="宋体"/>
                <w:color w:val="000000"/>
                <w:kern w:val="0"/>
              </w:rPr>
            </w:pPr>
            <w:r>
              <w:rPr>
                <w:rFonts w:hint="eastAsia" w:ascii="Calibri" w:hAnsi="Calibri" w:cs="宋体"/>
                <w:color w:val="000000"/>
                <w:kern w:val="0"/>
              </w:rPr>
              <w:t>符合各项质量</w:t>
            </w:r>
            <w:r>
              <w:rPr>
                <w:rFonts w:ascii="Calibri" w:hAnsi="Calibri" w:cs="宋体"/>
                <w:color w:val="000000"/>
                <w:kern w:val="0"/>
              </w:rPr>
              <w:t xml:space="preserve"> </w:t>
            </w:r>
            <w:r>
              <w:rPr>
                <w:rFonts w:hint="eastAsia" w:ascii="Calibri" w:hAnsi="Calibri" w:cs="宋体"/>
                <w:color w:val="000000"/>
                <w:kern w:val="0"/>
              </w:rPr>
              <w:t>、技术指标，应根据图纸编制本工程的技术方案，并提供给招标方确认最终方案。施工工地验收交货。</w:t>
            </w:r>
          </w:p>
          <w:p>
            <w:pPr>
              <w:widowControl/>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78" w:hRule="atLeast"/>
          <w:jc w:val="center"/>
        </w:trPr>
        <w:tc>
          <w:tcPr>
            <w:tcW w:w="800" w:type="dxa"/>
            <w:tcBorders>
              <w:top w:val="nil"/>
              <w:bottom w:val="single" w:color="auto" w:sz="4" w:space="0"/>
              <w:right w:val="single" w:color="auto" w:sz="4" w:space="0"/>
            </w:tcBorders>
            <w:vAlign w:val="center"/>
          </w:tcPr>
          <w:p>
            <w:pPr>
              <w:widowControl/>
              <w:spacing w:line="360" w:lineRule="auto"/>
              <w:ind w:firstLine="420" w:firstLineChars="200"/>
              <w:jc w:val="left"/>
              <w:rPr>
                <w:rFonts w:hint="eastAsia" w:ascii="Calibri" w:hAnsi="Calibri" w:eastAsiaTheme="minorEastAsia"/>
                <w:kern w:val="0"/>
                <w:lang w:val="en-US" w:eastAsia="zh-CN"/>
              </w:rPr>
            </w:pPr>
            <w:r>
              <w:rPr>
                <w:rFonts w:hint="eastAsia" w:ascii="Calibri" w:hAnsi="Calibri"/>
                <w:kern w:val="0"/>
                <w:lang w:val="en-US" w:eastAsia="zh-CN"/>
              </w:rPr>
              <w:t>2</w:t>
            </w:r>
          </w:p>
        </w:tc>
        <w:tc>
          <w:tcPr>
            <w:tcW w:w="1092" w:type="dxa"/>
            <w:tcBorders>
              <w:top w:val="nil"/>
              <w:left w:val="nil"/>
              <w:bottom w:val="single" w:color="auto" w:sz="4" w:space="0"/>
              <w:right w:val="single" w:color="auto" w:sz="4" w:space="0"/>
            </w:tcBorders>
            <w:vAlign w:val="center"/>
          </w:tcPr>
          <w:p>
            <w:pPr>
              <w:spacing w:line="360" w:lineRule="auto"/>
              <w:jc w:val="left"/>
              <w:rPr>
                <w:rFonts w:hint="default" w:ascii="Calibri" w:hAnsi="Calibri" w:cs="宋体" w:eastAsiaTheme="minorEastAsia"/>
                <w:color w:val="000000"/>
                <w:kern w:val="0"/>
                <w:sz w:val="21"/>
                <w:szCs w:val="24"/>
                <w:lang w:val="en-US" w:eastAsia="zh-CN" w:bidi="ar-SA"/>
              </w:rPr>
            </w:pPr>
            <w:r>
              <w:rPr>
                <w:rFonts w:hint="eastAsia" w:ascii="Calibri" w:hAnsi="Calibri" w:cs="宋体"/>
                <w:color w:val="000000"/>
                <w:kern w:val="0"/>
              </w:rPr>
              <w:t>铝合金模板</w:t>
            </w:r>
            <w:r>
              <w:rPr>
                <w:rFonts w:hint="eastAsia" w:ascii="Calibri" w:hAnsi="Calibri" w:cs="宋体"/>
                <w:color w:val="000000"/>
                <w:kern w:val="0"/>
                <w:lang w:val="en-US" w:eastAsia="zh-CN"/>
              </w:rPr>
              <w:t>-梁、板膜</w:t>
            </w:r>
          </w:p>
        </w:tc>
        <w:tc>
          <w:tcPr>
            <w:tcW w:w="1164" w:type="dxa"/>
            <w:vMerge w:val="continue"/>
            <w:tcBorders>
              <w:left w:val="nil"/>
              <w:right w:val="single" w:color="auto" w:sz="4" w:space="0"/>
            </w:tcBorders>
            <w:vAlign w:val="center"/>
          </w:tcPr>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continue"/>
            <w:tcBorders>
              <w:left w:val="single" w:color="auto" w:sz="4" w:space="0"/>
              <w:right w:val="single" w:color="auto" w:sz="4" w:space="0"/>
            </w:tcBorders>
            <w:vAlign w:val="center"/>
          </w:tcPr>
          <w:p>
            <w:pPr>
              <w:spacing w:line="360" w:lineRule="auto"/>
              <w:jc w:val="left"/>
              <w:rPr>
                <w:rFonts w:hint="eastAsia" w:ascii="Calibri" w:hAnsi="Calibri" w:eastAsiaTheme="minorEastAsia" w:cstheme="minorBidi"/>
                <w:kern w:val="2"/>
                <w:sz w:val="21"/>
                <w:szCs w:val="22"/>
                <w:lang w:val="en-US" w:eastAsia="zh-CN" w:bidi="ar-SA"/>
              </w:rPr>
            </w:pPr>
          </w:p>
        </w:tc>
        <w:tc>
          <w:tcPr>
            <w:tcW w:w="735" w:type="dxa"/>
            <w:vMerge w:val="continue"/>
            <w:tcBorders>
              <w:left w:val="nil"/>
              <w:right w:val="single" w:color="auto" w:sz="4" w:space="0"/>
            </w:tcBorders>
            <w:vAlign w:val="center"/>
          </w:tcPr>
          <w:p>
            <w:pPr>
              <w:spacing w:line="360" w:lineRule="auto"/>
              <w:jc w:val="left"/>
              <w:rPr>
                <w:rFonts w:hint="eastAsia" w:ascii="Calibri" w:hAnsi="Calibri" w:eastAsiaTheme="minorEastAsia" w:cstheme="minorBidi"/>
                <w:kern w:val="0"/>
                <w:sz w:val="21"/>
                <w:szCs w:val="24"/>
                <w:lang w:val="en-US" w:eastAsia="zh-CN" w:bidi="ar-SA"/>
              </w:rPr>
            </w:pPr>
          </w:p>
        </w:tc>
        <w:tc>
          <w:tcPr>
            <w:tcW w:w="651" w:type="dxa"/>
            <w:tcBorders>
              <w:top w:val="nil"/>
              <w:left w:val="nil"/>
              <w:bottom w:val="single" w:color="auto" w:sz="4" w:space="0"/>
              <w:right w:val="single" w:color="auto" w:sz="4" w:space="0"/>
            </w:tcBorders>
            <w:vAlign w:val="center"/>
          </w:tcPr>
          <w:p>
            <w:pPr>
              <w:widowControl/>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lang w:val="en-US" w:eastAsia="zh-CN"/>
              </w:rPr>
              <w:t>20</w:t>
            </w:r>
          </w:p>
        </w:tc>
        <w:tc>
          <w:tcPr>
            <w:tcW w:w="1135" w:type="dxa"/>
            <w:vMerge w:val="continue"/>
            <w:tcBorders>
              <w:left w:val="single" w:color="auto" w:sz="4" w:space="0"/>
              <w:right w:val="single" w:color="auto" w:sz="4" w:space="0"/>
            </w:tcBorders>
            <w:vAlign w:val="center"/>
          </w:tcPr>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continue"/>
            <w:tcBorders>
              <w:left w:val="single" w:color="auto" w:sz="4" w:space="0"/>
            </w:tcBorders>
            <w:vAlign w:val="center"/>
          </w:tcPr>
          <w:p>
            <w:pPr>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822" w:hRule="atLeast"/>
          <w:jc w:val="center"/>
        </w:trPr>
        <w:tc>
          <w:tcPr>
            <w:tcW w:w="800" w:type="dxa"/>
            <w:tcBorders>
              <w:top w:val="nil"/>
              <w:bottom w:val="single" w:color="auto" w:sz="4" w:space="0"/>
              <w:right w:val="single" w:color="auto" w:sz="4" w:space="0"/>
            </w:tcBorders>
            <w:vAlign w:val="center"/>
          </w:tcPr>
          <w:p>
            <w:pPr>
              <w:widowControl/>
              <w:spacing w:line="360" w:lineRule="auto"/>
              <w:ind w:firstLine="420" w:firstLineChars="200"/>
              <w:jc w:val="left"/>
              <w:rPr>
                <w:rFonts w:hint="default" w:ascii="Calibri" w:hAnsi="Calibri"/>
                <w:kern w:val="0"/>
                <w:lang w:val="en-US" w:eastAsia="zh-CN"/>
              </w:rPr>
            </w:pPr>
            <w:r>
              <w:rPr>
                <w:rFonts w:hint="eastAsia" w:ascii="Calibri" w:hAnsi="Calibri"/>
                <w:kern w:val="0"/>
                <w:lang w:val="en-US" w:eastAsia="zh-CN"/>
              </w:rPr>
              <w:t>3</w:t>
            </w:r>
          </w:p>
        </w:tc>
        <w:tc>
          <w:tcPr>
            <w:tcW w:w="1092" w:type="dxa"/>
            <w:tcBorders>
              <w:top w:val="nil"/>
              <w:left w:val="nil"/>
              <w:bottom w:val="single" w:color="auto" w:sz="4" w:space="0"/>
              <w:right w:val="single" w:color="auto" w:sz="4" w:space="0"/>
            </w:tcBorders>
            <w:vAlign w:val="center"/>
          </w:tcPr>
          <w:p>
            <w:pPr>
              <w:spacing w:line="360" w:lineRule="auto"/>
              <w:jc w:val="left"/>
              <w:rPr>
                <w:rFonts w:hint="default" w:ascii="Calibri" w:hAnsi="Calibri" w:cs="宋体" w:eastAsiaTheme="minorEastAsia"/>
                <w:color w:val="000000"/>
                <w:kern w:val="0"/>
                <w:sz w:val="21"/>
                <w:szCs w:val="24"/>
                <w:lang w:val="en-US" w:eastAsia="zh-CN" w:bidi="ar-SA"/>
              </w:rPr>
            </w:pPr>
            <w:r>
              <w:rPr>
                <w:rFonts w:hint="eastAsia" w:ascii="Calibri" w:hAnsi="Calibri" w:cs="宋体"/>
                <w:color w:val="000000"/>
                <w:kern w:val="0"/>
              </w:rPr>
              <w:t>铝合金模板</w:t>
            </w:r>
            <w:r>
              <w:rPr>
                <w:rFonts w:hint="eastAsia" w:ascii="Calibri" w:hAnsi="Calibri" w:cs="宋体"/>
                <w:color w:val="000000"/>
                <w:kern w:val="0"/>
                <w:lang w:val="en-US" w:eastAsia="zh-CN"/>
              </w:rPr>
              <w:t>-梁、板支撑</w:t>
            </w:r>
          </w:p>
        </w:tc>
        <w:tc>
          <w:tcPr>
            <w:tcW w:w="1164" w:type="dxa"/>
            <w:vMerge w:val="continue"/>
            <w:tcBorders>
              <w:left w:val="nil"/>
              <w:bottom w:val="single" w:color="auto" w:sz="4" w:space="0"/>
              <w:right w:val="single" w:color="auto" w:sz="4" w:space="0"/>
            </w:tcBorders>
            <w:vAlign w:val="center"/>
          </w:tcPr>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continue"/>
            <w:tcBorders>
              <w:left w:val="single" w:color="auto" w:sz="4" w:space="0"/>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2"/>
                <w:sz w:val="21"/>
                <w:szCs w:val="22"/>
                <w:lang w:val="en-US" w:eastAsia="zh-CN" w:bidi="ar-SA"/>
              </w:rPr>
            </w:pPr>
          </w:p>
        </w:tc>
        <w:tc>
          <w:tcPr>
            <w:tcW w:w="735" w:type="dxa"/>
            <w:vMerge w:val="continue"/>
            <w:tcBorders>
              <w:left w:val="nil"/>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0"/>
                <w:sz w:val="21"/>
                <w:szCs w:val="24"/>
                <w:lang w:val="en-US" w:eastAsia="zh-CN" w:bidi="ar-SA"/>
              </w:rPr>
            </w:pPr>
          </w:p>
        </w:tc>
        <w:tc>
          <w:tcPr>
            <w:tcW w:w="651" w:type="dxa"/>
            <w:tcBorders>
              <w:top w:val="nil"/>
              <w:left w:val="nil"/>
              <w:bottom w:val="single" w:color="auto" w:sz="4" w:space="0"/>
              <w:right w:val="single" w:color="auto" w:sz="4" w:space="0"/>
            </w:tcBorders>
            <w:vAlign w:val="center"/>
          </w:tcPr>
          <w:p>
            <w:pPr>
              <w:widowControl/>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lang w:val="en-US" w:eastAsia="zh-CN"/>
              </w:rPr>
              <w:t>20</w:t>
            </w:r>
          </w:p>
        </w:tc>
        <w:tc>
          <w:tcPr>
            <w:tcW w:w="1135" w:type="dxa"/>
            <w:vMerge w:val="continue"/>
            <w:tcBorders>
              <w:left w:val="single" w:color="auto" w:sz="4" w:space="0"/>
              <w:right w:val="single" w:color="auto" w:sz="4" w:space="0"/>
            </w:tcBorders>
            <w:vAlign w:val="center"/>
          </w:tcPr>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continue"/>
            <w:tcBorders>
              <w:left w:val="single" w:color="auto" w:sz="4" w:space="0"/>
            </w:tcBorders>
            <w:vAlign w:val="center"/>
          </w:tcPr>
          <w:p>
            <w:pPr>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8" w:hRule="atLeast"/>
          <w:jc w:val="center"/>
        </w:trPr>
        <w:tc>
          <w:tcPr>
            <w:tcW w:w="800" w:type="dxa"/>
            <w:tcBorders>
              <w:top w:val="single" w:color="auto" w:sz="4" w:space="0"/>
              <w:bottom w:val="single" w:color="auto" w:sz="4" w:space="0"/>
              <w:right w:val="single" w:color="auto" w:sz="4" w:space="0"/>
            </w:tcBorders>
            <w:vAlign w:val="center"/>
          </w:tcPr>
          <w:p>
            <w:pPr>
              <w:widowControl/>
              <w:spacing w:line="360" w:lineRule="auto"/>
              <w:ind w:firstLine="420" w:firstLineChars="200"/>
              <w:jc w:val="left"/>
              <w:rPr>
                <w:rFonts w:hint="default" w:ascii="Calibri" w:hAnsi="Calibri"/>
                <w:kern w:val="0"/>
                <w:lang w:val="en-US" w:eastAsia="zh-CN"/>
              </w:rPr>
            </w:pPr>
            <w:r>
              <w:rPr>
                <w:rFonts w:hint="eastAsia" w:ascii="Calibri" w:hAnsi="Calibri"/>
                <w:kern w:val="0"/>
                <w:lang w:val="en-US" w:eastAsia="zh-CN"/>
              </w:rPr>
              <w:t>4</w:t>
            </w:r>
          </w:p>
        </w:tc>
        <w:tc>
          <w:tcPr>
            <w:tcW w:w="1092" w:type="dxa"/>
            <w:tcBorders>
              <w:top w:val="single" w:color="auto" w:sz="4" w:space="0"/>
              <w:left w:val="nil"/>
              <w:bottom w:val="single" w:color="auto" w:sz="4" w:space="0"/>
              <w:right w:val="single" w:color="auto" w:sz="4" w:space="0"/>
            </w:tcBorders>
            <w:vAlign w:val="center"/>
          </w:tcPr>
          <w:p>
            <w:pPr>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rPr>
              <w:t>铝合金模板</w:t>
            </w:r>
            <w:r>
              <w:rPr>
                <w:rFonts w:hint="eastAsia" w:ascii="Calibri" w:hAnsi="Calibri" w:cs="宋体"/>
                <w:color w:val="000000"/>
                <w:kern w:val="0"/>
                <w:lang w:val="en-US" w:eastAsia="zh-CN"/>
              </w:rPr>
              <w:t>-墙支撑</w:t>
            </w:r>
          </w:p>
        </w:tc>
        <w:tc>
          <w:tcPr>
            <w:tcW w:w="1164" w:type="dxa"/>
            <w:vMerge w:val="continue"/>
            <w:tcBorders>
              <w:top w:val="single" w:color="auto" w:sz="4" w:space="0"/>
              <w:left w:val="nil"/>
              <w:bottom w:val="single" w:color="auto" w:sz="4" w:space="0"/>
              <w:right w:val="single" w:color="auto" w:sz="4" w:space="0"/>
            </w:tcBorders>
            <w:vAlign w:val="center"/>
          </w:tcPr>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2"/>
                <w:sz w:val="21"/>
                <w:szCs w:val="22"/>
                <w:lang w:val="en-US" w:eastAsia="zh-CN" w:bidi="ar-SA"/>
              </w:rPr>
            </w:pPr>
          </w:p>
        </w:tc>
        <w:tc>
          <w:tcPr>
            <w:tcW w:w="735" w:type="dxa"/>
            <w:vMerge w:val="continue"/>
            <w:tcBorders>
              <w:top w:val="single" w:color="auto" w:sz="4" w:space="0"/>
              <w:left w:val="nil"/>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0"/>
                <w:sz w:val="21"/>
                <w:szCs w:val="24"/>
                <w:lang w:val="en-US" w:eastAsia="zh-CN" w:bidi="ar-SA"/>
              </w:rPr>
            </w:pPr>
          </w:p>
        </w:tc>
        <w:tc>
          <w:tcPr>
            <w:tcW w:w="651" w:type="dxa"/>
            <w:tcBorders>
              <w:top w:val="single" w:color="auto" w:sz="4" w:space="0"/>
              <w:left w:val="nil"/>
              <w:bottom w:val="single" w:color="auto" w:sz="4" w:space="0"/>
              <w:right w:val="single" w:color="auto" w:sz="4" w:space="0"/>
            </w:tcBorders>
            <w:vAlign w:val="center"/>
          </w:tcPr>
          <w:p>
            <w:pPr>
              <w:widowControl/>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lang w:val="en-US" w:eastAsia="zh-CN"/>
              </w:rPr>
              <w:t>10</w:t>
            </w:r>
          </w:p>
        </w:tc>
        <w:tc>
          <w:tcPr>
            <w:tcW w:w="1135" w:type="dxa"/>
            <w:vMerge w:val="continue"/>
            <w:tcBorders>
              <w:left w:val="single" w:color="auto" w:sz="4" w:space="0"/>
              <w:bottom w:val="single" w:color="auto" w:sz="4" w:space="0"/>
              <w:right w:val="single" w:color="auto" w:sz="4" w:space="0"/>
            </w:tcBorders>
            <w:vAlign w:val="center"/>
          </w:tcPr>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continue"/>
            <w:tcBorders>
              <w:left w:val="single" w:color="auto" w:sz="4" w:space="0"/>
              <w:bottom w:val="single" w:color="auto" w:sz="4" w:space="0"/>
            </w:tcBorders>
            <w:vAlign w:val="center"/>
          </w:tcPr>
          <w:p>
            <w:pPr>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823" w:hRule="atLeast"/>
          <w:jc w:val="center"/>
        </w:trPr>
        <w:tc>
          <w:tcPr>
            <w:tcW w:w="800" w:type="dxa"/>
            <w:tcBorders>
              <w:top w:val="single" w:color="auto" w:sz="4" w:space="0"/>
              <w:right w:val="single" w:color="auto" w:sz="4" w:space="0"/>
            </w:tcBorders>
            <w:vAlign w:val="center"/>
          </w:tcPr>
          <w:p>
            <w:pPr>
              <w:pStyle w:val="15"/>
              <w:spacing w:line="360" w:lineRule="auto"/>
              <w:ind w:left="0" w:leftChars="0" w:firstLine="0" w:firstLineChars="0"/>
              <w:jc w:val="left"/>
              <w:rPr>
                <w:sz w:val="21"/>
                <w:szCs w:val="21"/>
              </w:rPr>
            </w:pPr>
            <w:r>
              <w:rPr>
                <w:rFonts w:hint="eastAsia" w:ascii="Calibri" w:hAnsi="Calibri" w:cs="宋体"/>
                <w:b/>
                <w:bCs/>
                <w:kern w:val="0"/>
                <w:sz w:val="21"/>
                <w:szCs w:val="21"/>
              </w:rPr>
              <w:t>合计</w:t>
            </w:r>
          </w:p>
        </w:tc>
        <w:tc>
          <w:tcPr>
            <w:tcW w:w="5206" w:type="dxa"/>
            <w:gridSpan w:val="4"/>
            <w:tcBorders>
              <w:top w:val="single" w:color="auto" w:sz="4" w:space="0"/>
              <w:left w:val="nil"/>
              <w:right w:val="single" w:color="auto" w:sz="4" w:space="0"/>
            </w:tcBorders>
            <w:vAlign w:val="center"/>
          </w:tcPr>
          <w:p>
            <w:pPr>
              <w:widowControl/>
              <w:spacing w:line="360" w:lineRule="auto"/>
              <w:ind w:firstLine="420" w:firstLineChars="200"/>
              <w:jc w:val="left"/>
              <w:rPr>
                <w:rFonts w:ascii="Calibri" w:hAnsi="Calibri" w:cs="宋体"/>
                <w:kern w:val="0"/>
              </w:rPr>
            </w:pPr>
          </w:p>
        </w:tc>
        <w:tc>
          <w:tcPr>
            <w:tcW w:w="651" w:type="dxa"/>
            <w:tcBorders>
              <w:top w:val="single" w:color="auto" w:sz="4" w:space="0"/>
              <w:left w:val="nil"/>
              <w:right w:val="single" w:color="auto" w:sz="4" w:space="0"/>
            </w:tcBorders>
            <w:vAlign w:val="center"/>
          </w:tcPr>
          <w:p>
            <w:pPr>
              <w:widowControl/>
              <w:spacing w:line="360" w:lineRule="auto"/>
              <w:jc w:val="left"/>
              <w:rPr>
                <w:rFonts w:hint="default" w:ascii="Calibri" w:hAnsi="Calibri" w:eastAsiaTheme="minorEastAsia"/>
                <w:kern w:val="0"/>
                <w:lang w:val="en-US" w:eastAsia="zh-CN"/>
              </w:rPr>
            </w:pPr>
            <w:r>
              <w:rPr>
                <w:rFonts w:hint="eastAsia" w:ascii="Calibri" w:hAnsi="Calibri"/>
                <w:kern w:val="0"/>
                <w:lang w:val="en-US" w:eastAsia="zh-CN"/>
              </w:rPr>
              <w:t>60</w:t>
            </w:r>
          </w:p>
        </w:tc>
        <w:tc>
          <w:tcPr>
            <w:tcW w:w="3143" w:type="dxa"/>
            <w:gridSpan w:val="2"/>
            <w:tcBorders>
              <w:top w:val="nil"/>
              <w:left w:val="nil"/>
            </w:tcBorders>
            <w:vAlign w:val="center"/>
          </w:tcPr>
          <w:p>
            <w:pPr>
              <w:widowControl/>
              <w:spacing w:line="360" w:lineRule="auto"/>
              <w:ind w:firstLine="420" w:firstLineChars="200"/>
              <w:jc w:val="left"/>
              <w:rPr>
                <w:rFonts w:ascii="Calibri" w:hAnsi="Calibri" w:cs="宋体"/>
                <w:kern w:val="0"/>
                <w:szCs w:val="22"/>
              </w:rPr>
            </w:pPr>
          </w:p>
        </w:tc>
      </w:tr>
    </w:tbl>
    <w:p>
      <w:pPr>
        <w:pStyle w:val="15"/>
        <w:spacing w:line="360" w:lineRule="auto"/>
        <w:rPr>
          <w:kern w:val="2"/>
          <w:sz w:val="21"/>
          <w:szCs w:val="21"/>
        </w:rPr>
      </w:pPr>
    </w:p>
    <w:bookmarkEnd w:id="78"/>
    <w:p>
      <w:pPr>
        <w:pStyle w:val="15"/>
        <w:spacing w:line="360" w:lineRule="auto"/>
        <w:rPr>
          <w:kern w:val="2"/>
          <w:sz w:val="21"/>
          <w:szCs w:val="21"/>
          <w:highlight w:val="none"/>
        </w:rPr>
      </w:pPr>
      <w:r>
        <w:rPr>
          <w:rFonts w:hint="eastAsia"/>
          <w:kern w:val="2"/>
          <w:sz w:val="21"/>
          <w:szCs w:val="21"/>
          <w:highlight w:val="none"/>
        </w:rPr>
        <w:t>备注：本次招标的范围为</w:t>
      </w:r>
      <w:r>
        <w:rPr>
          <w:rFonts w:hint="eastAsia"/>
          <w:kern w:val="2"/>
          <w:sz w:val="21"/>
          <w:szCs w:val="21"/>
          <w:highlight w:val="none"/>
          <w:lang w:val="en-US" w:eastAsia="zh-CN"/>
        </w:rPr>
        <w:t>卡琳娜住房</w:t>
      </w:r>
      <w:r>
        <w:rPr>
          <w:rFonts w:hint="eastAsia"/>
          <w:kern w:val="2"/>
          <w:sz w:val="21"/>
          <w:szCs w:val="21"/>
          <w:highlight w:val="none"/>
        </w:rPr>
        <w:t>项目铝合金模板材料；不含基础</w:t>
      </w:r>
      <w:r>
        <w:rPr>
          <w:rFonts w:hint="eastAsia"/>
          <w:kern w:val="2"/>
          <w:sz w:val="21"/>
          <w:szCs w:val="21"/>
          <w:highlight w:val="none"/>
          <w:lang w:val="en-US" w:eastAsia="zh-CN"/>
        </w:rPr>
        <w:t>部分；</w:t>
      </w:r>
      <w:r>
        <w:rPr>
          <w:rFonts w:hint="eastAsia"/>
          <w:kern w:val="2"/>
          <w:sz w:val="21"/>
          <w:szCs w:val="21"/>
          <w:highlight w:val="none"/>
        </w:rPr>
        <w:t>本项目铝模板招标采购量</w:t>
      </w:r>
      <w:r>
        <w:rPr>
          <w:rFonts w:hint="eastAsia"/>
          <w:kern w:val="2"/>
          <w:sz w:val="21"/>
          <w:szCs w:val="21"/>
          <w:highlight w:val="none"/>
          <w:lang w:val="en-US" w:eastAsia="zh-CN"/>
        </w:rPr>
        <w:t>约</w:t>
      </w:r>
      <w:r>
        <w:rPr>
          <w:rFonts w:hint="eastAsia"/>
          <w:kern w:val="2"/>
          <w:sz w:val="21"/>
          <w:szCs w:val="21"/>
          <w:highlight w:val="none"/>
        </w:rPr>
        <w:t>为</w:t>
      </w:r>
      <w:r>
        <w:rPr>
          <w:rFonts w:hint="eastAsia"/>
          <w:kern w:val="2"/>
          <w:sz w:val="21"/>
          <w:szCs w:val="21"/>
          <w:highlight w:val="none"/>
          <w:lang w:val="en-US" w:eastAsia="zh-CN"/>
        </w:rPr>
        <w:t>4450</w:t>
      </w:r>
      <w:r>
        <w:rPr>
          <w:rFonts w:hint="eastAsia"/>
          <w:kern w:val="2"/>
          <w:sz w:val="21"/>
          <w:szCs w:val="21"/>
          <w:highlight w:val="none"/>
        </w:rPr>
        <w:t>平方米，最终的采购量根据厂商的深化设计后</w:t>
      </w:r>
      <w:r>
        <w:rPr>
          <w:rFonts w:hint="eastAsia"/>
          <w:kern w:val="2"/>
          <w:sz w:val="21"/>
          <w:szCs w:val="21"/>
          <w:highlight w:val="none"/>
          <w:lang w:val="en-US" w:eastAsia="zh-CN"/>
        </w:rPr>
        <w:t>的</w:t>
      </w:r>
      <w:r>
        <w:rPr>
          <w:rFonts w:hint="eastAsia"/>
          <w:kern w:val="2"/>
          <w:sz w:val="21"/>
          <w:szCs w:val="21"/>
          <w:highlight w:val="none"/>
        </w:rPr>
        <w:t>准确量</w:t>
      </w:r>
      <w:r>
        <w:rPr>
          <w:rFonts w:hint="eastAsia"/>
          <w:kern w:val="2"/>
          <w:sz w:val="21"/>
          <w:szCs w:val="21"/>
          <w:highlight w:val="none"/>
          <w:lang w:eastAsia="zh-CN"/>
        </w:rPr>
        <w:t>，</w:t>
      </w:r>
      <w:r>
        <w:rPr>
          <w:rFonts w:hint="eastAsia"/>
          <w:kern w:val="2"/>
          <w:sz w:val="21"/>
          <w:szCs w:val="21"/>
          <w:highlight w:val="none"/>
          <w:lang w:val="en-US" w:eastAsia="zh-CN"/>
        </w:rPr>
        <w:t>以及厂商认为合理</w:t>
      </w:r>
      <w:r>
        <w:rPr>
          <w:rFonts w:hint="eastAsia"/>
          <w:kern w:val="2"/>
          <w:sz w:val="21"/>
          <w:szCs w:val="21"/>
          <w:highlight w:val="none"/>
        </w:rPr>
        <w:t>的</w:t>
      </w:r>
      <w:r>
        <w:rPr>
          <w:rFonts w:hint="eastAsia"/>
          <w:kern w:val="2"/>
          <w:sz w:val="21"/>
          <w:szCs w:val="21"/>
          <w:highlight w:val="none"/>
          <w:lang w:val="en-US" w:eastAsia="zh-CN"/>
        </w:rPr>
        <w:t>方案</w:t>
      </w:r>
      <w:r>
        <w:rPr>
          <w:rFonts w:hint="eastAsia"/>
          <w:kern w:val="2"/>
          <w:sz w:val="21"/>
          <w:szCs w:val="21"/>
          <w:highlight w:val="none"/>
        </w:rPr>
        <w:t>确定。</w:t>
      </w:r>
    </w:p>
    <w:p>
      <w:pPr>
        <w:pStyle w:val="15"/>
        <w:spacing w:line="360" w:lineRule="auto"/>
        <w:rPr>
          <w:kern w:val="2"/>
          <w:sz w:val="21"/>
          <w:szCs w:val="21"/>
        </w:rPr>
      </w:pPr>
      <w:r>
        <w:rPr>
          <w:rFonts w:hint="eastAsia"/>
          <w:kern w:val="2"/>
          <w:sz w:val="21"/>
          <w:szCs w:val="21"/>
        </w:rPr>
        <w:t>在招标过程中，投标方应根据图纸编制本工程的技术方案，并提供给招标方确认最终配模方案。</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技术标准：</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（1）《铝合金建筑型材》GB/T5237；</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（2）《一般工业用铝及铝合金挤压型材》GB/T6892；</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（3）《变形铝及铝合金化学成份》GB/T3190；</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（4）《建筑模数协调标准》GB/T50002-2013；</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（5）《铝合金模板》JG/T522-2017；</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（6）《铝合金结构设计规范》GB50429；</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（7）《组合铝合金模板工程技术规程》JGJ386-2016；</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（8）《建筑施工模板安全技术规程》JGJ162；</w:t>
      </w:r>
    </w:p>
    <w:p>
      <w:pPr>
        <w:spacing w:line="360" w:lineRule="auto"/>
        <w:ind w:firstLine="420" w:firstLineChars="200"/>
        <w:rPr>
          <w:rFonts w:hint="eastAsia" w:ascii="Calibri" w:hAnsi="Calibri"/>
          <w:szCs w:val="21"/>
          <w:highlight w:val="none"/>
        </w:rPr>
      </w:pPr>
      <w:r>
        <w:rPr>
          <w:rFonts w:hint="eastAsia" w:ascii="Calibri" w:hAnsi="Calibri"/>
          <w:szCs w:val="21"/>
          <w:highlight w:val="none"/>
        </w:rPr>
        <w:t>（9）《混凝土结构工程施工质量验收规范》GB50204-2015</w:t>
      </w:r>
    </w:p>
    <w:p>
      <w:pPr>
        <w:spacing w:line="360" w:lineRule="auto"/>
        <w:ind w:firstLine="420" w:firstLineChars="200"/>
        <w:rPr>
          <w:rFonts w:hint="default" w:ascii="Calibri" w:hAnsi="Calibri"/>
          <w:szCs w:val="21"/>
          <w:highlight w:val="none"/>
          <w:lang w:val="en-US" w:eastAsia="zh-CN"/>
        </w:rPr>
      </w:pPr>
      <w:r>
        <w:rPr>
          <w:rFonts w:hint="eastAsia" w:ascii="Calibri" w:hAnsi="Calibri"/>
          <w:szCs w:val="21"/>
          <w:highlight w:val="none"/>
          <w:lang w:val="en-US" w:eastAsia="zh-CN"/>
        </w:rPr>
        <w:t xml:space="preserve">（10）铝合金模板材质要求：满足国家标准GB/T 6892要求的AL6061-T6铝合金材料 </w:t>
      </w:r>
    </w:p>
    <w:p>
      <w:pPr>
        <w:spacing w:line="360" w:lineRule="auto"/>
        <w:ind w:firstLine="420" w:firstLineChars="200"/>
        <w:rPr>
          <w:rFonts w:ascii="Calibri" w:hAnsi="Calibri"/>
          <w:szCs w:val="21"/>
        </w:rPr>
      </w:pPr>
      <w:r>
        <w:rPr>
          <w:rFonts w:hint="eastAsia" w:ascii="Calibri" w:hAnsi="Calibri"/>
          <w:szCs w:val="21"/>
        </w:rPr>
        <w:t>模板系统：拉片式铝合金；</w:t>
      </w:r>
    </w:p>
    <w:p>
      <w:pPr>
        <w:spacing w:line="360" w:lineRule="auto"/>
        <w:ind w:firstLine="420" w:firstLineChars="200"/>
        <w:rPr>
          <w:rFonts w:ascii="Calibri" w:hAnsi="Calibri"/>
          <w:szCs w:val="21"/>
        </w:rPr>
      </w:pPr>
      <w:r>
        <w:rPr>
          <w:rFonts w:hint="eastAsia" w:ascii="Calibri" w:hAnsi="Calibri"/>
          <w:szCs w:val="21"/>
        </w:rPr>
        <w:t>材料型号：</w:t>
      </w:r>
      <w:r>
        <w:rPr>
          <w:rFonts w:ascii="Calibri" w:hAnsi="Calibri"/>
          <w:szCs w:val="21"/>
        </w:rPr>
        <w:t>6061-T6</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79" w:name="_Toc12427"/>
      <w:r>
        <w:rPr>
          <w:rFonts w:hint="eastAsia"/>
          <w:sz w:val="22"/>
          <w:szCs w:val="22"/>
          <w:lang w:val="en-US" w:eastAsia="zh-CN"/>
        </w:rPr>
        <w:t>4.质量要求：</w:t>
      </w:r>
      <w:bookmarkEnd w:id="79"/>
    </w:p>
    <w:p>
      <w:pPr>
        <w:widowControl/>
        <w:spacing w:line="360" w:lineRule="auto"/>
        <w:ind w:firstLine="420" w:firstLineChars="200"/>
        <w:rPr>
          <w:sz w:val="24"/>
          <w:szCs w:val="32"/>
        </w:rPr>
      </w:pPr>
      <w:r>
        <w:rPr>
          <w:rFonts w:hint="eastAsia" w:ascii="Calibri" w:hAnsi="Calibri"/>
          <w:szCs w:val="21"/>
        </w:rPr>
        <w:t>投标方应严格按照招标方技术规格要求生产，一旦发现在国内发货前随机取样产品或在项目抽检不满足招标方要求（标准见附件），以次充好，降低等级生产产品。招标方将视为不合格品，有权拒付一切货款，并要求投标方赔偿招标方因此造成的工期延误、海运费等一切经济损失。不合格品运到国外后请投标方在限时</w:t>
      </w:r>
      <w:r>
        <w:rPr>
          <w:rFonts w:ascii="Calibri" w:hAnsi="Calibri"/>
          <w:szCs w:val="21"/>
        </w:rPr>
        <w:t>10</w:t>
      </w:r>
      <w:r>
        <w:rPr>
          <w:rFonts w:hint="eastAsia" w:ascii="Calibri" w:hAnsi="Calibri"/>
          <w:szCs w:val="21"/>
        </w:rPr>
        <w:t>个工作日内自行处理，否则招标方有权自行处置。</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80" w:name="_Toc2423"/>
      <w:r>
        <w:rPr>
          <w:rFonts w:hint="eastAsia"/>
          <w:sz w:val="22"/>
          <w:szCs w:val="22"/>
          <w:lang w:val="en-US" w:eastAsia="zh-CN"/>
        </w:rPr>
        <w:t>5.包装要求：</w:t>
      </w:r>
      <w:bookmarkEnd w:id="80"/>
    </w:p>
    <w:p>
      <w:pPr>
        <w:widowControl/>
        <w:spacing w:line="360" w:lineRule="auto"/>
        <w:ind w:firstLine="420" w:firstLineChars="200"/>
        <w:rPr>
          <w:rFonts w:hint="eastAsia" w:asciiTheme="minorEastAsia" w:hAnsiTheme="minorEastAsia"/>
          <w:szCs w:val="21"/>
        </w:rPr>
      </w:pPr>
      <w:r>
        <w:rPr>
          <w:rFonts w:hint="eastAsia" w:asciiTheme="minorEastAsia" w:hAnsiTheme="minorEastAsia"/>
          <w:szCs w:val="21"/>
          <w:lang w:val="en-US" w:eastAsia="zh-CN"/>
        </w:rPr>
        <w:t>5.1</w:t>
      </w:r>
      <w:r>
        <w:rPr>
          <w:rFonts w:hint="eastAsia" w:asciiTheme="minorEastAsia" w:hAnsiTheme="minorEastAsia"/>
          <w:szCs w:val="21"/>
        </w:rPr>
        <w:t>除合同另有规定外，卖方提供的全部货物均应按标准保护措施进行包装，这类包装应适应于国际远距离运输、防湿、防潮、防震、防锈和防野蛮装卸，以确保货物安全无损运抵指定现场（根据产品实际情况而定）。</w:t>
      </w:r>
    </w:p>
    <w:p>
      <w:pPr>
        <w:widowControl/>
        <w:spacing w:line="360" w:lineRule="auto"/>
        <w:ind w:firstLine="420" w:firstLineChars="200"/>
      </w:pPr>
      <w:r>
        <w:rPr>
          <w:rFonts w:hint="eastAsia" w:asciiTheme="minorEastAsia" w:hAnsiTheme="minorEastAsia"/>
          <w:szCs w:val="21"/>
          <w:lang w:val="en-US" w:eastAsia="zh-CN"/>
        </w:rPr>
        <w:t>5.</w:t>
      </w:r>
      <w:r>
        <w:rPr>
          <w:rFonts w:hint="eastAsia"/>
        </w:rPr>
        <w:t xml:space="preserve">2. </w:t>
      </w:r>
      <w:r>
        <w:rPr>
          <w:rFonts w:hint="eastAsia" w:asciiTheme="minorEastAsia" w:hAnsiTheme="minorEastAsia"/>
          <w:szCs w:val="21"/>
        </w:rPr>
        <w:t>每一个包装箱内应附一份详细装箱单。</w:t>
      </w:r>
    </w:p>
    <w:p>
      <w:pPr>
        <w:spacing w:line="360" w:lineRule="auto"/>
        <w:ind w:firstLine="420" w:firstLineChars="200"/>
      </w:pPr>
      <w:r>
        <w:rPr>
          <w:rFonts w:hint="eastAsia"/>
          <w:lang w:val="en-US" w:eastAsia="zh-CN"/>
        </w:rPr>
        <w:t xml:space="preserve">5. </w:t>
      </w:r>
      <w:r>
        <w:rPr>
          <w:rFonts w:hint="eastAsia"/>
        </w:rPr>
        <w:t xml:space="preserve">3. </w:t>
      </w:r>
      <w:r>
        <w:rPr>
          <w:rFonts w:hint="eastAsia" w:asciiTheme="minorEastAsia" w:hAnsiTheme="minorEastAsia"/>
          <w:szCs w:val="21"/>
        </w:rPr>
        <w:t>全部货物包装标准符合出口产品要求。</w:t>
      </w:r>
    </w:p>
    <w:p>
      <w:pPr>
        <w:pStyle w:val="2"/>
        <w:keepNext/>
        <w:keepLines/>
        <w:pageBreakBefore w:val="0"/>
        <w:widowControl w:val="0"/>
        <w:numPr>
          <w:ilvl w:val="1"/>
          <w:numId w:val="0"/>
        </w:numPr>
        <w:tabs>
          <w:tab w:val="left" w:pos="548"/>
          <w:tab w:val="clear" w:pos="567"/>
        </w:tabs>
        <w:kinsoku/>
        <w:wordWrap/>
        <w:overflowPunct/>
        <w:topLinePunct w:val="0"/>
        <w:autoSpaceDE/>
        <w:autoSpaceDN/>
        <w:bidi w:val="0"/>
        <w:adjustRightInd/>
        <w:snapToGrid/>
        <w:spacing w:line="20" w:lineRule="exact"/>
        <w:ind w:leftChars="0"/>
        <w:textAlignment w:val="auto"/>
        <w:rPr>
          <w:rFonts w:hint="eastAsia"/>
          <w:sz w:val="22"/>
          <w:szCs w:val="22"/>
          <w:lang w:val="en-US" w:eastAsia="zh-CN"/>
        </w:rPr>
      </w:pPr>
      <w:bookmarkStart w:id="81" w:name="_Toc20393"/>
      <w:r>
        <w:rPr>
          <w:rFonts w:hint="eastAsia"/>
          <w:sz w:val="22"/>
          <w:szCs w:val="22"/>
          <w:lang w:val="en-US" w:eastAsia="zh-CN"/>
        </w:rPr>
        <w:t>6.支付：</w:t>
      </w:r>
      <w:bookmarkEnd w:id="81"/>
    </w:p>
    <w:p>
      <w:pPr>
        <w:spacing w:line="360" w:lineRule="auto"/>
        <w:ind w:firstLine="420" w:firstLineChars="200"/>
        <w:rPr>
          <w:b/>
          <w:sz w:val="36"/>
          <w:szCs w:val="36"/>
          <w:highlight w:val="none"/>
        </w:rPr>
      </w:pPr>
      <w:bookmarkStart w:id="82" w:name="OLE_LINK6"/>
      <w:r>
        <w:rPr>
          <w:rFonts w:hint="eastAsia"/>
          <w:highlight w:val="none"/>
        </w:rPr>
        <w:t>合同签订卖方完成深化设计并提出方案，得到买方和业主审核通过后，7个工作日内以电汇形式支付合同总额的</w:t>
      </w:r>
      <w:r>
        <w:rPr>
          <w:rFonts w:hint="eastAsia"/>
          <w:highlight w:val="none"/>
          <w:lang w:val="en-US" w:eastAsia="zh-CN"/>
        </w:rPr>
        <w:t>30</w:t>
      </w:r>
      <w:r>
        <w:rPr>
          <w:rFonts w:hint="eastAsia"/>
          <w:highlight w:val="none"/>
        </w:rPr>
        <w:t>%预付款</w:t>
      </w:r>
      <w:r>
        <w:rPr>
          <w:rFonts w:hint="eastAsia"/>
          <w:highlight w:val="none"/>
          <w:lang w:eastAsia="zh-CN"/>
        </w:rPr>
        <w:t>；</w:t>
      </w:r>
      <w:r>
        <w:rPr>
          <w:rFonts w:hint="eastAsia"/>
          <w:highlight w:val="none"/>
          <w:lang w:val="en-US" w:eastAsia="zh-CN"/>
        </w:rPr>
        <w:t>买方</w:t>
      </w:r>
      <w:r>
        <w:rPr>
          <w:rFonts w:hint="eastAsia"/>
          <w:highlight w:val="none"/>
        </w:rPr>
        <w:t>于</w:t>
      </w:r>
      <w:r>
        <w:rPr>
          <w:rFonts w:hint="eastAsia"/>
          <w:highlight w:val="none"/>
          <w:lang w:val="en-US" w:eastAsia="zh-CN"/>
        </w:rPr>
        <w:t>卖方</w:t>
      </w:r>
      <w:r>
        <w:rPr>
          <w:rFonts w:hint="eastAsia"/>
          <w:highlight w:val="none"/>
        </w:rPr>
        <w:t>工厂验收合格</w:t>
      </w:r>
      <w:r>
        <w:rPr>
          <w:rFonts w:hint="eastAsia"/>
          <w:highlight w:val="none"/>
          <w:lang w:val="en-US" w:eastAsia="zh-CN"/>
        </w:rPr>
        <w:t>后</w:t>
      </w:r>
      <w:r>
        <w:rPr>
          <w:rFonts w:hint="eastAsia"/>
          <w:highlight w:val="none"/>
        </w:rPr>
        <w:t>，以电汇方式支付</w:t>
      </w:r>
      <w:r>
        <w:rPr>
          <w:rFonts w:hint="eastAsia"/>
          <w:highlight w:val="none"/>
          <w:lang w:val="en-US" w:eastAsia="zh-CN"/>
        </w:rPr>
        <w:t>卖方</w:t>
      </w:r>
      <w:r>
        <w:rPr>
          <w:rFonts w:hint="eastAsia"/>
          <w:highlight w:val="none"/>
        </w:rPr>
        <w:t>对应合同总金额</w:t>
      </w:r>
      <w:r>
        <w:rPr>
          <w:rFonts w:hint="eastAsia"/>
          <w:highlight w:val="none"/>
          <w:lang w:val="en-US" w:eastAsia="zh-CN"/>
        </w:rPr>
        <w:t>65</w:t>
      </w:r>
      <w:r>
        <w:rPr>
          <w:rFonts w:hint="eastAsia"/>
          <w:highlight w:val="none"/>
        </w:rPr>
        <w:t>%的货款，货款到账后</w:t>
      </w:r>
      <w:r>
        <w:rPr>
          <w:rFonts w:hint="eastAsia"/>
          <w:highlight w:val="none"/>
          <w:lang w:val="en-US" w:eastAsia="zh-CN"/>
        </w:rPr>
        <w:t>卖</w:t>
      </w:r>
      <w:r>
        <w:rPr>
          <w:rFonts w:hint="eastAsia"/>
          <w:highlight w:val="none"/>
        </w:rPr>
        <w:t>方发货</w:t>
      </w:r>
      <w:r>
        <w:rPr>
          <w:rFonts w:hint="eastAsia"/>
          <w:highlight w:val="none"/>
          <w:lang w:eastAsia="zh-CN"/>
        </w:rPr>
        <w:t>。</w:t>
      </w:r>
      <w:r>
        <w:rPr>
          <w:rFonts w:hint="eastAsia"/>
          <w:highlight w:val="none"/>
        </w:rPr>
        <w:t>剩余的合同总额</w:t>
      </w:r>
      <w:r>
        <w:rPr>
          <w:rFonts w:hint="eastAsia"/>
          <w:highlight w:val="none"/>
          <w:lang w:val="en-US" w:eastAsia="zh-CN"/>
        </w:rPr>
        <w:t>5</w:t>
      </w:r>
      <w:r>
        <w:rPr>
          <w:rFonts w:hint="eastAsia"/>
          <w:highlight w:val="none"/>
        </w:rPr>
        <w:t>%作为质量保证金，在顺利完成最后一层铝模板施工后3天内以电汇形式支付.最终的付款方式以定标后的合同签订为准。</w:t>
      </w:r>
      <w:bookmarkEnd w:id="82"/>
    </w:p>
    <w:p>
      <w:pPr>
        <w:tabs>
          <w:tab w:val="right" w:leader="hyphen" w:pos="8400"/>
        </w:tabs>
        <w:spacing w:line="360" w:lineRule="auto"/>
        <w:ind w:firstLine="723" w:firstLineChars="200"/>
        <w:jc w:val="center"/>
        <w:rPr>
          <w:rFonts w:hint="eastAsia"/>
          <w:b/>
          <w:sz w:val="36"/>
          <w:szCs w:val="36"/>
        </w:rPr>
      </w:pP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b/>
          <w:sz w:val="32"/>
          <w:szCs w:val="32"/>
        </w:rPr>
      </w:pPr>
      <w:bookmarkStart w:id="83" w:name="_Toc15133"/>
      <w:r>
        <w:rPr>
          <w:rFonts w:hint="eastAsia"/>
          <w:b/>
          <w:sz w:val="32"/>
          <w:szCs w:val="32"/>
        </w:rPr>
        <w:t>第四章</w:t>
      </w:r>
      <w:r>
        <w:rPr>
          <w:rFonts w:hint="eastAsia"/>
          <w:b/>
          <w:sz w:val="32"/>
          <w:szCs w:val="32"/>
          <w:lang w:val="en-US" w:eastAsia="zh-CN"/>
        </w:rPr>
        <w:t xml:space="preserve">  </w:t>
      </w:r>
      <w:r>
        <w:rPr>
          <w:rFonts w:hint="eastAsia"/>
          <w:b/>
          <w:sz w:val="32"/>
          <w:szCs w:val="32"/>
        </w:rPr>
        <w:t xml:space="preserve"> 招标采购专用合同</w:t>
      </w:r>
      <w:bookmarkEnd w:id="83"/>
    </w:p>
    <w:p>
      <w:pPr>
        <w:spacing w:line="360" w:lineRule="auto"/>
        <w:rPr>
          <w:rFonts w:ascii="Times New Roman" w:hAnsi="Times New Roman"/>
          <w:sz w:val="30"/>
          <w:szCs w:val="30"/>
        </w:rPr>
      </w:pPr>
    </w:p>
    <w:p>
      <w:pPr>
        <w:spacing w:before="120"/>
        <w:ind w:firstLine="720"/>
        <w:jc w:val="center"/>
        <w:outlineLvl w:val="0"/>
        <w:rPr>
          <w:rFonts w:hint="eastAsia" w:ascii="宋体" w:hAnsi="宋体"/>
          <w:lang w:eastAsia="zh-CN"/>
        </w:rPr>
      </w:pPr>
      <w:bookmarkStart w:id="84" w:name="_Toc27606"/>
      <w:r>
        <w:rPr>
          <w:rFonts w:hint="eastAsia" w:ascii="宋体" w:hAnsi="宋体"/>
          <w:lang w:eastAsia="zh-CN"/>
        </w:rPr>
        <w:t>（正式签订合同同时应根据本项目的实际情况对相关内容进行修改）</w:t>
      </w:r>
      <w:bookmarkEnd w:id="84"/>
    </w:p>
    <w:p>
      <w:pPr>
        <w:spacing w:before="120"/>
        <w:rPr>
          <w:rFonts w:hint="eastAsia" w:ascii="宋体" w:hAnsi="宋体"/>
          <w:lang w:eastAsia="zh-CN"/>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80" w:hRule="atLeast"/>
          <w:jc w:val="center"/>
        </w:trPr>
        <w:tc>
          <w:tcPr>
            <w:tcW w:w="9655" w:type="dxa"/>
            <w:noWrap w:val="0"/>
            <w:vAlign w:val="top"/>
          </w:tcPr>
          <w:p>
            <w:pPr>
              <w:spacing w:before="120"/>
              <w:ind w:left="105"/>
              <w:rPr>
                <w:rFonts w:hint="eastAsia" w:ascii="宋体" w:hAnsi="宋体"/>
                <w:lang w:eastAsia="zh-CN"/>
              </w:rPr>
            </w:pPr>
            <w:r>
              <w:rPr>
                <w:rFonts w:hint="eastAsia" w:ascii="宋体" w:hAnsi="宋体"/>
                <w:lang w:eastAsia="zh-CN"/>
              </w:rPr>
              <w:t xml:space="preserve">注释： </w:t>
            </w:r>
          </w:p>
          <w:p>
            <w:pPr>
              <w:ind w:firstLine="720"/>
              <w:rPr>
                <w:rFonts w:hint="eastAsia" w:ascii="宋体" w:hAnsi="宋体"/>
                <w:b/>
                <w:spacing w:val="20"/>
                <w:lang w:eastAsia="zh-CN"/>
              </w:rPr>
            </w:pPr>
            <w:r>
              <w:rPr>
                <w:rFonts w:hint="eastAsia" w:ascii="宋体" w:hAnsi="宋体"/>
                <w:lang w:eastAsia="zh-CN"/>
              </w:rPr>
              <w:t>《</w:t>
            </w:r>
            <w:r>
              <w:rPr>
                <w:rFonts w:hint="eastAsia" w:ascii="宋体" w:hAnsi="宋体"/>
                <w:bCs/>
                <w:lang w:eastAsia="zh-CN"/>
              </w:rPr>
              <w:t>采购合同格式</w:t>
            </w:r>
            <w:r>
              <w:rPr>
                <w:rFonts w:hint="eastAsia" w:ascii="宋体" w:hAnsi="宋体"/>
                <w:lang w:eastAsia="zh-CN"/>
              </w:rPr>
              <w:t>》，本格式条款仅作为双方签订合同的参考，为阐明各方的权利和义务，经协商可增加新的条款。</w:t>
            </w:r>
            <w:r>
              <w:rPr>
                <w:rFonts w:ascii="宋体" w:hAnsi="宋体"/>
                <w:lang w:eastAsia="zh-CN"/>
              </w:rPr>
              <w:t xml:space="preserve"> </w:t>
            </w:r>
            <w:r>
              <w:rPr>
                <w:rFonts w:hint="eastAsia" w:ascii="宋体" w:hAnsi="宋体"/>
                <w:lang w:eastAsia="zh-CN"/>
              </w:rPr>
              <w:t>但不得与招标文件、投标文件的实质性内容相背离。</w:t>
            </w:r>
          </w:p>
          <w:p>
            <w:pPr>
              <w:spacing w:before="120"/>
              <w:ind w:left="105" w:firstLine="480"/>
              <w:rPr>
                <w:rFonts w:hint="eastAsia" w:ascii="宋体" w:hAnsi="宋体"/>
                <w:lang w:eastAsia="zh-CN"/>
              </w:rPr>
            </w:pPr>
          </w:p>
        </w:tc>
      </w:tr>
    </w:tbl>
    <w:p>
      <w:pPr>
        <w:jc w:val="center"/>
        <w:rPr>
          <w:rFonts w:hint="eastAsia"/>
          <w:b/>
          <w:bCs/>
          <w:sz w:val="28"/>
          <w:szCs w:val="28"/>
        </w:rPr>
      </w:pPr>
    </w:p>
    <w:p>
      <w:pPr>
        <w:jc w:val="center"/>
        <w:rPr>
          <w:rFonts w:hint="eastAsia" w:ascii="Cambria"/>
          <w:b/>
          <w:bCs/>
          <w:sz w:val="28"/>
          <w:szCs w:val="28"/>
        </w:rPr>
      </w:pPr>
      <w:r>
        <w:rPr>
          <w:rFonts w:eastAsia="宋体"/>
          <w:b/>
          <w:sz w:val="32"/>
          <w:szCs w:val="32"/>
          <w:lang w:eastAsia="zh-CN"/>
        </w:rPr>
        <w:t>中武</w:t>
      </w:r>
      <w:r>
        <w:rPr>
          <w:rFonts w:hint="eastAsia" w:eastAsia="宋体"/>
          <w:b/>
          <w:sz w:val="32"/>
          <w:szCs w:val="32"/>
          <w:lang w:eastAsia="zh-CN"/>
        </w:rPr>
        <w:t>（</w:t>
      </w:r>
      <w:r>
        <w:rPr>
          <w:rFonts w:eastAsia="宋体"/>
          <w:b/>
          <w:sz w:val="32"/>
          <w:szCs w:val="32"/>
          <w:lang w:eastAsia="zh-CN"/>
        </w:rPr>
        <w:t>福建</w:t>
      </w:r>
      <w:r>
        <w:rPr>
          <w:rFonts w:hint="eastAsia" w:eastAsia="宋体"/>
          <w:b/>
          <w:sz w:val="32"/>
          <w:szCs w:val="32"/>
          <w:lang w:eastAsia="zh-CN"/>
        </w:rPr>
        <w:t>）</w:t>
      </w:r>
      <w:r>
        <w:rPr>
          <w:rFonts w:eastAsia="宋体"/>
          <w:b/>
          <w:sz w:val="32"/>
          <w:szCs w:val="32"/>
          <w:lang w:eastAsia="zh-CN"/>
        </w:rPr>
        <w:t>跨境电子商务有限责任公司</w:t>
      </w:r>
    </w:p>
    <w:p>
      <w:pPr>
        <w:jc w:val="center"/>
        <w:rPr>
          <w:rFonts w:ascii="Cambria"/>
          <w:b/>
          <w:bCs/>
          <w:sz w:val="28"/>
          <w:szCs w:val="28"/>
        </w:rPr>
      </w:pPr>
      <w:r>
        <w:rPr>
          <w:rFonts w:hint="eastAsia" w:ascii="Cambria"/>
          <w:b/>
          <w:bCs/>
          <w:sz w:val="28"/>
          <w:szCs w:val="28"/>
          <w:lang w:val="en-US" w:eastAsia="zh-CN"/>
        </w:rPr>
        <w:t>铝模</w:t>
      </w:r>
      <w:r>
        <w:rPr>
          <w:rFonts w:hint="eastAsia" w:ascii="Cambria"/>
          <w:b/>
          <w:bCs/>
          <w:sz w:val="28"/>
          <w:szCs w:val="28"/>
        </w:rPr>
        <w:t>采购合同</w:t>
      </w:r>
    </w:p>
    <w:p>
      <w:pPr>
        <w:spacing w:after="100" w:afterAutospacing="1" w:line="360" w:lineRule="auto"/>
        <w:ind w:right="480"/>
        <w:jc w:val="center"/>
        <w:outlineLvl w:val="0"/>
        <w:rPr>
          <w:rFonts w:eastAsia="宋体"/>
          <w:lang w:eastAsia="zh-CN"/>
        </w:rPr>
      </w:pPr>
      <w:r>
        <w:rPr>
          <w:rFonts w:eastAsia="宋体"/>
          <w:lang w:eastAsia="zh-CN"/>
        </w:rPr>
        <w:t xml:space="preserve">  </w:t>
      </w:r>
      <w:r>
        <w:rPr>
          <w:rFonts w:hint="eastAsia"/>
          <w:lang w:val="en-US" w:eastAsia="zh-CN"/>
        </w:rPr>
        <w:t xml:space="preserve">                               </w:t>
      </w:r>
      <w:r>
        <w:rPr>
          <w:rFonts w:eastAsia="宋体"/>
          <w:lang w:eastAsia="zh-CN"/>
        </w:rPr>
        <w:t xml:space="preserve"> </w:t>
      </w:r>
      <w:bookmarkStart w:id="85" w:name="_Toc14562"/>
      <w:r>
        <w:rPr>
          <w:rFonts w:eastAsia="宋体"/>
          <w:lang w:eastAsia="zh-CN"/>
        </w:rPr>
        <w:t>合同编号：</w:t>
      </w:r>
      <w:bookmarkEnd w:id="85"/>
    </w:p>
    <w:p>
      <w:pPr>
        <w:spacing w:after="100" w:afterAutospacing="1" w:line="360" w:lineRule="auto"/>
        <w:ind w:firstLine="420" w:firstLineChars="200"/>
        <w:rPr>
          <w:rFonts w:eastAsia="宋体"/>
          <w:lang w:eastAsia="zh-CN"/>
        </w:rPr>
      </w:pPr>
      <w:r>
        <w:rPr>
          <w:rFonts w:eastAsia="宋体"/>
          <w:lang w:eastAsia="zh-CN"/>
        </w:rPr>
        <w:t>买方：</w:t>
      </w:r>
      <w:r>
        <w:rPr>
          <w:rFonts w:eastAsia="宋体"/>
          <w:u w:val="single"/>
          <w:lang w:eastAsia="zh-CN"/>
        </w:rPr>
        <w:t>　中武</w:t>
      </w:r>
      <w:r>
        <w:rPr>
          <w:rFonts w:hint="eastAsia" w:eastAsia="宋体"/>
          <w:u w:val="single"/>
          <w:lang w:eastAsia="zh-CN"/>
        </w:rPr>
        <w:t>（</w:t>
      </w:r>
      <w:r>
        <w:rPr>
          <w:rFonts w:eastAsia="宋体"/>
          <w:u w:val="single"/>
          <w:lang w:eastAsia="zh-CN"/>
        </w:rPr>
        <w:t>福建</w:t>
      </w:r>
      <w:r>
        <w:rPr>
          <w:rFonts w:hint="eastAsia" w:eastAsia="宋体"/>
          <w:u w:val="single"/>
          <w:lang w:eastAsia="zh-CN"/>
        </w:rPr>
        <w:t>）</w:t>
      </w:r>
      <w:r>
        <w:rPr>
          <w:rFonts w:eastAsia="宋体"/>
          <w:u w:val="single"/>
          <w:lang w:eastAsia="zh-CN"/>
        </w:rPr>
        <w:t>跨境电子商务有限责任公司　</w:t>
      </w:r>
      <w:r>
        <w:rPr>
          <w:rFonts w:eastAsia="宋体"/>
          <w:lang w:eastAsia="zh-CN"/>
        </w:rPr>
        <w:t>（以下简称“甲方”）</w:t>
      </w:r>
    </w:p>
    <w:p>
      <w:pPr>
        <w:spacing w:after="100" w:afterAutospacing="1" w:line="360" w:lineRule="auto"/>
        <w:ind w:firstLine="420" w:firstLineChars="200"/>
        <w:rPr>
          <w:rFonts w:eastAsia="宋体"/>
          <w:lang w:eastAsia="zh-CN"/>
        </w:rPr>
      </w:pPr>
      <w:r>
        <w:rPr>
          <w:rFonts w:eastAsia="宋体"/>
          <w:lang w:eastAsia="zh-CN"/>
        </w:rPr>
        <w:t>卖方：</w:t>
      </w:r>
      <w:r>
        <w:rPr>
          <w:rFonts w:eastAsia="宋体"/>
          <w:u w:val="single"/>
          <w:lang w:eastAsia="zh-CN"/>
        </w:rPr>
        <w:t>　　　　　　　　　</w:t>
      </w:r>
      <w:r>
        <w:rPr>
          <w:rFonts w:eastAsia="宋体"/>
          <w:lang w:eastAsia="zh-CN"/>
        </w:rPr>
        <w:t>（以下简称“乙方”）</w:t>
      </w:r>
    </w:p>
    <w:p>
      <w:pPr>
        <w:spacing w:after="100" w:afterAutospacing="1" w:line="360" w:lineRule="auto"/>
        <w:ind w:firstLine="480"/>
        <w:rPr>
          <w:rFonts w:eastAsia="宋体"/>
          <w:lang w:eastAsia="zh-CN"/>
        </w:rPr>
      </w:pPr>
      <w:r>
        <w:rPr>
          <w:rFonts w:eastAsia="宋体"/>
          <w:lang w:eastAsia="zh-CN"/>
        </w:rPr>
        <w:t>甲乙双方依照《中华人民共和国合同法》及其他有关法律、行政法规、遵循平等、自愿、公平和诚实信用的原则，就</w:t>
      </w:r>
      <w:r>
        <w:rPr>
          <w:rFonts w:hint="eastAsia"/>
          <w:u w:val="single"/>
          <w:lang w:val="en-US" w:eastAsia="zh-CN"/>
        </w:rPr>
        <w:t>铝模</w:t>
      </w:r>
      <w:r>
        <w:rPr>
          <w:rFonts w:eastAsia="宋体"/>
          <w:lang w:eastAsia="zh-CN"/>
        </w:rPr>
        <w:t>的采购事项协商一致，订立本合同。</w:t>
      </w:r>
    </w:p>
    <w:p>
      <w:pPr>
        <w:numPr>
          <w:ilvl w:val="0"/>
          <w:numId w:val="8"/>
        </w:numPr>
        <w:spacing w:after="100" w:afterAutospacing="1" w:line="360" w:lineRule="auto"/>
        <w:ind w:left="992" w:hanging="425"/>
        <w:outlineLvl w:val="1"/>
        <w:rPr>
          <w:rFonts w:eastAsia="宋体"/>
          <w:b/>
          <w:lang w:eastAsia="zh-CN"/>
        </w:rPr>
      </w:pPr>
      <w:bookmarkStart w:id="86" w:name="_Toc19148"/>
      <w:bookmarkStart w:id="87" w:name="_Toc58577914"/>
      <w:r>
        <w:rPr>
          <w:rFonts w:eastAsia="宋体"/>
          <w:b/>
          <w:lang w:eastAsia="zh-CN"/>
        </w:rPr>
        <w:t>定　义</w:t>
      </w:r>
      <w:bookmarkEnd w:id="86"/>
      <w:bookmarkEnd w:id="87"/>
    </w:p>
    <w:p>
      <w:pPr>
        <w:spacing w:after="100" w:afterAutospacing="1" w:line="360" w:lineRule="auto"/>
        <w:ind w:firstLine="420" w:firstLineChars="200"/>
        <w:rPr>
          <w:rFonts w:eastAsia="宋体"/>
          <w:lang w:eastAsia="zh-CN"/>
        </w:rPr>
      </w:pPr>
      <w:r>
        <w:rPr>
          <w:rFonts w:eastAsia="宋体"/>
          <w:lang w:eastAsia="zh-CN"/>
        </w:rPr>
        <w:t>本合同下列术语应解释为：</w:t>
      </w:r>
    </w:p>
    <w:p>
      <w:pPr>
        <w:numPr>
          <w:ilvl w:val="1"/>
          <w:numId w:val="9"/>
        </w:numPr>
        <w:tabs>
          <w:tab w:val="left" w:pos="1134"/>
          <w:tab w:val="left" w:pos="1276"/>
        </w:tabs>
        <w:spacing w:after="100" w:afterAutospacing="1" w:line="360" w:lineRule="auto"/>
        <w:ind w:left="0" w:firstLine="495" w:firstLineChars="236"/>
        <w:rPr>
          <w:rFonts w:eastAsia="宋体"/>
          <w:lang w:eastAsia="zh-CN"/>
        </w:rPr>
      </w:pPr>
      <w:r>
        <w:rPr>
          <w:rFonts w:eastAsia="宋体"/>
          <w:lang w:eastAsia="zh-CN"/>
        </w:rPr>
        <w:t>“合同”系指甲乙双方自愿签署并达成的、载明双方权利义务的协议，包括所有的附件、附录、补充协议、通知书、确认书等以及上述文件所提到的构成合同的所有文件。</w:t>
      </w:r>
    </w:p>
    <w:p>
      <w:pPr>
        <w:numPr>
          <w:ilvl w:val="1"/>
          <w:numId w:val="9"/>
        </w:numPr>
        <w:tabs>
          <w:tab w:val="left" w:pos="1134"/>
          <w:tab w:val="left" w:pos="1276"/>
        </w:tabs>
        <w:spacing w:after="100" w:afterAutospacing="1" w:line="360" w:lineRule="auto"/>
        <w:ind w:left="0" w:firstLine="495" w:firstLineChars="236"/>
        <w:rPr>
          <w:rFonts w:eastAsia="宋体"/>
          <w:lang w:eastAsia="zh-CN"/>
        </w:rPr>
      </w:pPr>
      <w:r>
        <w:rPr>
          <w:rFonts w:eastAsia="宋体"/>
          <w:lang w:eastAsia="zh-CN"/>
        </w:rPr>
        <w:t>“合同价款”系指根据合同规定，乙方在正确地完全履行合同义务后甲方应支付给乙方的价款。</w:t>
      </w:r>
    </w:p>
    <w:p>
      <w:pPr>
        <w:numPr>
          <w:ilvl w:val="1"/>
          <w:numId w:val="9"/>
        </w:numPr>
        <w:tabs>
          <w:tab w:val="left" w:pos="1134"/>
          <w:tab w:val="left" w:pos="1276"/>
        </w:tabs>
        <w:spacing w:after="100" w:afterAutospacing="1" w:line="360" w:lineRule="auto"/>
        <w:ind w:left="0" w:firstLine="495" w:firstLineChars="236"/>
        <w:rPr>
          <w:rFonts w:eastAsia="宋体"/>
          <w:lang w:eastAsia="zh-CN"/>
        </w:rPr>
      </w:pPr>
      <w:r>
        <w:rPr>
          <w:rFonts w:eastAsia="宋体"/>
          <w:lang w:eastAsia="zh-CN"/>
        </w:rPr>
        <w:t>“货物”系指乙方根据合同规定须向甲方提供的保证符合合同约定及国家相关规定的货物。</w:t>
      </w:r>
    </w:p>
    <w:p>
      <w:pPr>
        <w:numPr>
          <w:ilvl w:val="1"/>
          <w:numId w:val="9"/>
        </w:numPr>
        <w:tabs>
          <w:tab w:val="left" w:pos="1134"/>
          <w:tab w:val="left" w:pos="1276"/>
        </w:tabs>
        <w:spacing w:after="100" w:afterAutospacing="1" w:line="360" w:lineRule="auto"/>
        <w:ind w:left="0" w:firstLine="495" w:firstLineChars="236"/>
        <w:rPr>
          <w:rFonts w:eastAsia="宋体"/>
          <w:lang w:eastAsia="zh-CN"/>
        </w:rPr>
      </w:pPr>
      <w:r>
        <w:rPr>
          <w:rFonts w:eastAsia="宋体"/>
          <w:lang w:eastAsia="zh-CN"/>
        </w:rPr>
        <w:t>“服务”系指根据合同规定乙方承担与供货有关的辅助服务，如包装、运输、保险以及其他的伴随服务和合同中规定乙方应承担的其他义务。</w:t>
      </w:r>
    </w:p>
    <w:p>
      <w:pPr>
        <w:numPr>
          <w:ilvl w:val="1"/>
          <w:numId w:val="9"/>
        </w:numPr>
        <w:tabs>
          <w:tab w:val="left" w:pos="1134"/>
          <w:tab w:val="left" w:pos="1276"/>
        </w:tabs>
        <w:spacing w:after="100" w:afterAutospacing="1" w:line="360" w:lineRule="auto"/>
        <w:ind w:left="0" w:firstLine="495" w:firstLineChars="236"/>
        <w:rPr>
          <w:rFonts w:eastAsia="宋体"/>
          <w:lang w:eastAsia="zh-CN"/>
        </w:rPr>
      </w:pPr>
      <w:r>
        <w:rPr>
          <w:rFonts w:eastAsia="宋体"/>
          <w:lang w:eastAsia="zh-CN"/>
        </w:rPr>
        <w:t>“交货地点”系指本合同项下甲方指定的货物送达的场所。</w:t>
      </w:r>
    </w:p>
    <w:p>
      <w:pPr>
        <w:numPr>
          <w:ilvl w:val="1"/>
          <w:numId w:val="9"/>
        </w:numPr>
        <w:tabs>
          <w:tab w:val="left" w:pos="1134"/>
          <w:tab w:val="left" w:pos="1276"/>
        </w:tabs>
        <w:spacing w:after="100" w:afterAutospacing="1" w:line="360" w:lineRule="auto"/>
        <w:ind w:left="0" w:firstLine="495" w:firstLineChars="236"/>
        <w:rPr>
          <w:rFonts w:eastAsia="宋体"/>
          <w:lang w:eastAsia="zh-CN"/>
        </w:rPr>
      </w:pPr>
      <w:r>
        <w:rPr>
          <w:rFonts w:eastAsia="宋体"/>
          <w:lang w:eastAsia="zh-CN"/>
        </w:rPr>
        <w:t>“验收人员”系指甲乙双方依据合同规定或国家相关规定的程序和条件委派的负责验收的人员，确认合同项下的货物符合合同约定或国家相关规定的要求。</w:t>
      </w:r>
    </w:p>
    <w:p>
      <w:pPr>
        <w:numPr>
          <w:ilvl w:val="0"/>
          <w:numId w:val="8"/>
        </w:numPr>
        <w:spacing w:after="100" w:afterAutospacing="1" w:line="360" w:lineRule="auto"/>
        <w:ind w:left="992" w:hanging="425"/>
        <w:outlineLvl w:val="1"/>
        <w:rPr>
          <w:rFonts w:eastAsia="宋体"/>
          <w:b/>
          <w:lang w:eastAsia="zh-CN"/>
        </w:rPr>
      </w:pPr>
      <w:bookmarkStart w:id="88" w:name="_Toc58577915"/>
      <w:bookmarkStart w:id="89" w:name="_Toc9683"/>
      <w:r>
        <w:rPr>
          <w:rFonts w:eastAsia="宋体"/>
          <w:b/>
          <w:lang w:eastAsia="zh-CN"/>
        </w:rPr>
        <w:t>合同</w:t>
      </w:r>
      <w:bookmarkEnd w:id="88"/>
      <w:r>
        <w:rPr>
          <w:rFonts w:hint="eastAsia" w:eastAsia="宋体"/>
          <w:b/>
          <w:lang w:eastAsia="zh-CN"/>
        </w:rPr>
        <w:t>标的物</w:t>
      </w:r>
      <w:bookmarkEnd w:id="89"/>
    </w:p>
    <w:p>
      <w:pPr>
        <w:numPr>
          <w:ilvl w:val="0"/>
          <w:numId w:val="10"/>
        </w:numPr>
        <w:spacing w:after="100" w:afterAutospacing="1" w:line="360" w:lineRule="auto"/>
        <w:ind w:left="1276" w:hanging="693"/>
        <w:rPr>
          <w:rFonts w:eastAsia="宋体"/>
          <w:lang w:eastAsia="zh-CN"/>
        </w:rPr>
      </w:pPr>
      <w:r>
        <w:rPr>
          <w:rFonts w:eastAsia="宋体"/>
          <w:lang w:eastAsia="zh-CN"/>
        </w:rPr>
        <w:t>甲方同意向乙方购买</w:t>
      </w:r>
      <w:r>
        <w:rPr>
          <w:rFonts w:hint="eastAsia"/>
          <w:u w:val="single"/>
          <w:lang w:val="en-US" w:eastAsia="zh-CN"/>
        </w:rPr>
        <w:t>铝模</w:t>
      </w:r>
      <w:r>
        <w:rPr>
          <w:rFonts w:eastAsia="宋体"/>
          <w:lang w:eastAsia="zh-CN"/>
        </w:rPr>
        <w:t>，具体如下：</w:t>
      </w:r>
    </w:p>
    <w:tbl>
      <w:tblPr>
        <w:tblStyle w:val="16"/>
        <w:tblW w:w="10058" w:type="dxa"/>
        <w:tblCellSpacing w:w="7" w:type="dxa"/>
        <w:tblInd w:w="-463"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15" w:type="dxa"/>
          <w:left w:w="15" w:type="dxa"/>
          <w:bottom w:w="15" w:type="dxa"/>
          <w:right w:w="15" w:type="dxa"/>
        </w:tblCellMar>
      </w:tblPr>
      <w:tblGrid>
        <w:gridCol w:w="838"/>
        <w:gridCol w:w="1348"/>
        <w:gridCol w:w="2325"/>
        <w:gridCol w:w="1050"/>
        <w:gridCol w:w="932"/>
        <w:gridCol w:w="814"/>
        <w:gridCol w:w="1061"/>
        <w:gridCol w:w="1175"/>
        <w:gridCol w:w="51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326" w:hRule="atLeast"/>
          <w:tblCellSpacing w:w="7" w:type="dxa"/>
        </w:trPr>
        <w:tc>
          <w:tcPr>
            <w:tcW w:w="817"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eastAsia="宋体"/>
                <w:sz w:val="21"/>
                <w:szCs w:val="21"/>
              </w:rPr>
            </w:pPr>
            <w:r>
              <w:rPr>
                <w:rFonts w:eastAsia="宋体"/>
                <w:sz w:val="21"/>
                <w:szCs w:val="21"/>
              </w:rPr>
              <w:t>序号</w:t>
            </w:r>
          </w:p>
        </w:tc>
        <w:tc>
          <w:tcPr>
            <w:tcW w:w="1334"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eastAsia="宋体"/>
                <w:sz w:val="21"/>
                <w:szCs w:val="21"/>
              </w:rPr>
            </w:pPr>
            <w:r>
              <w:rPr>
                <w:rFonts w:eastAsia="宋体"/>
                <w:sz w:val="21"/>
                <w:szCs w:val="21"/>
              </w:rPr>
              <w:t>货物名称</w:t>
            </w:r>
          </w:p>
        </w:tc>
        <w:tc>
          <w:tcPr>
            <w:tcW w:w="2311"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eastAsia="宋体"/>
                <w:sz w:val="21"/>
                <w:szCs w:val="21"/>
              </w:rPr>
            </w:pPr>
            <w:r>
              <w:rPr>
                <w:rFonts w:eastAsia="宋体"/>
                <w:sz w:val="21"/>
                <w:szCs w:val="21"/>
              </w:rPr>
              <w:t>规格型号</w:t>
            </w:r>
          </w:p>
        </w:tc>
        <w:tc>
          <w:tcPr>
            <w:tcW w:w="10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eastAsia="宋体"/>
                <w:sz w:val="21"/>
                <w:szCs w:val="21"/>
              </w:rPr>
            </w:pPr>
            <w:r>
              <w:rPr>
                <w:rFonts w:eastAsia="宋体"/>
                <w:sz w:val="21"/>
                <w:szCs w:val="21"/>
              </w:rPr>
              <w:t>产地</w:t>
            </w:r>
          </w:p>
        </w:tc>
        <w:tc>
          <w:tcPr>
            <w:tcW w:w="918"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eastAsia="宋体"/>
                <w:sz w:val="21"/>
                <w:szCs w:val="21"/>
              </w:rPr>
            </w:pPr>
            <w:r>
              <w:rPr>
                <w:rFonts w:eastAsia="宋体"/>
                <w:sz w:val="21"/>
                <w:szCs w:val="21"/>
              </w:rPr>
              <w:t>数量</w:t>
            </w:r>
          </w:p>
        </w:tc>
        <w:tc>
          <w:tcPr>
            <w:tcW w:w="800"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hint="default" w:eastAsia="宋体"/>
                <w:sz w:val="21"/>
                <w:szCs w:val="21"/>
                <w:lang w:val="en-US" w:eastAsia="zh-CN"/>
              </w:rPr>
            </w:pPr>
            <w:r>
              <w:rPr>
                <w:rFonts w:hint="eastAsia"/>
                <w:sz w:val="21"/>
                <w:szCs w:val="21"/>
                <w:lang w:val="en-US" w:eastAsia="zh-CN"/>
              </w:rPr>
              <w:t>单位</w:t>
            </w:r>
          </w:p>
        </w:tc>
        <w:tc>
          <w:tcPr>
            <w:tcW w:w="10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ascii="Times New Roman" w:hAnsi="Times New Roman" w:eastAsia="宋体" w:cs="Times New Roman"/>
                <w:sz w:val="21"/>
                <w:szCs w:val="21"/>
                <w:lang w:val="en-US" w:eastAsia="zh-CN" w:bidi="ar-SA"/>
              </w:rPr>
            </w:pPr>
            <w:r>
              <w:rPr>
                <w:rFonts w:hint="eastAsia"/>
                <w:sz w:val="21"/>
                <w:szCs w:val="21"/>
                <w:lang w:val="en-US" w:eastAsia="zh-CN"/>
              </w:rPr>
              <w:t>单价</w:t>
            </w:r>
            <w:r>
              <w:rPr>
                <w:rFonts w:eastAsia="宋体"/>
                <w:sz w:val="21"/>
                <w:szCs w:val="21"/>
                <w:lang w:eastAsia="zh-CN"/>
              </w:rPr>
              <w:t>（元）</w:t>
            </w:r>
          </w:p>
        </w:tc>
        <w:tc>
          <w:tcPr>
            <w:tcW w:w="1161"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ascii="Times New Roman" w:hAnsi="Times New Roman" w:eastAsia="宋体" w:cs="Times New Roman"/>
                <w:sz w:val="21"/>
                <w:szCs w:val="21"/>
                <w:lang w:val="en-US" w:eastAsia="en-US" w:bidi="ar-SA"/>
              </w:rPr>
            </w:pPr>
            <w:r>
              <w:rPr>
                <w:rFonts w:eastAsia="宋体"/>
                <w:sz w:val="21"/>
                <w:szCs w:val="21"/>
              </w:rPr>
              <w:t>合计</w:t>
            </w:r>
            <w:r>
              <w:rPr>
                <w:rFonts w:eastAsia="宋体"/>
                <w:sz w:val="21"/>
                <w:szCs w:val="21"/>
                <w:lang w:eastAsia="zh-CN"/>
              </w:rPr>
              <w:t>（元）</w:t>
            </w:r>
          </w:p>
        </w:tc>
        <w:tc>
          <w:tcPr>
            <w:tcW w:w="494"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ascii="Times New Roman" w:hAnsi="Times New Roman" w:eastAsia="宋体" w:cs="Times New Roman"/>
                <w:sz w:val="21"/>
                <w:szCs w:val="21"/>
                <w:lang w:val="en-US" w:eastAsia="en-US" w:bidi="ar-SA"/>
              </w:rPr>
            </w:pPr>
            <w:r>
              <w:rPr>
                <w:rFonts w:eastAsia="宋体"/>
                <w:sz w:val="21"/>
                <w:szCs w:val="21"/>
              </w:rPr>
              <w:t>备注</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711" w:hRule="atLeast"/>
          <w:tblCellSpacing w:w="7" w:type="dxa"/>
        </w:trPr>
        <w:tc>
          <w:tcPr>
            <w:tcW w:w="817"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hint="eastAsia" w:ascii="Times New Roman" w:hAnsi="Times New Roman" w:eastAsia="宋体" w:cs="Times New Roman"/>
                <w:sz w:val="21"/>
                <w:szCs w:val="21"/>
                <w:lang w:val="en-US" w:eastAsia="zh-CN" w:bidi="ar-SA"/>
              </w:rPr>
            </w:pPr>
            <w:r>
              <w:rPr>
                <w:rFonts w:hint="eastAsia"/>
                <w:sz w:val="21"/>
                <w:szCs w:val="21"/>
                <w:lang w:val="en-US" w:eastAsia="zh-CN"/>
              </w:rPr>
              <w:t>1</w:t>
            </w:r>
          </w:p>
        </w:tc>
        <w:tc>
          <w:tcPr>
            <w:tcW w:w="1334"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bidi="ar-SA"/>
              </w:rPr>
            </w:pPr>
            <w:r>
              <w:rPr>
                <w:rFonts w:hint="eastAsia" w:ascii="等线" w:hAnsi="等线" w:eastAsia="等线" w:cs="等线"/>
                <w:i w:val="0"/>
                <w:color w:val="000000"/>
                <w:kern w:val="0"/>
                <w:sz w:val="21"/>
                <w:szCs w:val="21"/>
                <w:u w:val="none"/>
                <w:lang w:val="en-US" w:eastAsia="zh-CN" w:bidi="ar"/>
              </w:rPr>
              <w:t>铝模（墙模）</w:t>
            </w:r>
          </w:p>
        </w:tc>
        <w:tc>
          <w:tcPr>
            <w:tcW w:w="2311" w:type="dxa"/>
            <w:vMerge w:val="restart"/>
            <w:tcBorders>
              <w:top w:val="outset" w:color="auto" w:sz="6" w:space="0"/>
              <w:left w:val="outset" w:color="auto" w:sz="6" w:space="0"/>
              <w:right w:val="outset" w:color="auto" w:sz="6" w:space="0"/>
            </w:tcBorders>
            <w:noWrap w:val="0"/>
            <w:vAlign w:val="center"/>
          </w:tcPr>
          <w:p>
            <w:pPr>
              <w:widowControl/>
              <w:spacing w:line="360" w:lineRule="auto"/>
              <w:jc w:val="left"/>
              <w:rPr>
                <w:rFonts w:ascii="Calibri" w:hAnsi="Calibri" w:cs="宋体"/>
                <w:color w:val="000000"/>
                <w:kern w:val="0"/>
              </w:rPr>
            </w:pPr>
            <w:r>
              <w:rPr>
                <w:rFonts w:hint="eastAsia" w:ascii="Calibri" w:hAnsi="Calibri" w:cs="宋体"/>
                <w:color w:val="000000"/>
                <w:kern w:val="0"/>
              </w:rPr>
              <w:t>模板系统：拉片式铝合金；</w:t>
            </w:r>
          </w:p>
          <w:p>
            <w:pPr>
              <w:widowControl/>
              <w:spacing w:line="360" w:lineRule="auto"/>
              <w:jc w:val="left"/>
              <w:rPr>
                <w:rFonts w:eastAsia="宋体"/>
                <w:sz w:val="21"/>
                <w:szCs w:val="21"/>
              </w:rPr>
            </w:pPr>
            <w:r>
              <w:rPr>
                <w:rFonts w:hint="eastAsia" w:ascii="Calibri" w:hAnsi="Calibri" w:cs="宋体"/>
                <w:color w:val="000000"/>
                <w:kern w:val="0"/>
              </w:rPr>
              <w:t>材料型号：</w:t>
            </w:r>
            <w:r>
              <w:rPr>
                <w:rFonts w:ascii="Calibri" w:hAnsi="Calibri" w:cs="宋体"/>
                <w:color w:val="000000"/>
                <w:kern w:val="0"/>
              </w:rPr>
              <w:t>6061-T6</w:t>
            </w:r>
          </w:p>
        </w:tc>
        <w:tc>
          <w:tcPr>
            <w:tcW w:w="1036" w:type="dxa"/>
            <w:tcBorders>
              <w:top w:val="outset" w:color="auto" w:sz="6" w:space="0"/>
              <w:left w:val="outset" w:color="auto" w:sz="6" w:space="0"/>
              <w:right w:val="outset" w:color="auto" w:sz="6" w:space="0"/>
            </w:tcBorders>
            <w:noWrap w:val="0"/>
            <w:vAlign w:val="center"/>
          </w:tcPr>
          <w:p>
            <w:pPr>
              <w:spacing w:line="360" w:lineRule="auto"/>
              <w:ind w:firstLine="420" w:firstLineChars="200"/>
              <w:jc w:val="center"/>
              <w:rPr>
                <w:rFonts w:ascii="Times New Roman" w:hAnsi="Times New Roman" w:eastAsia="宋体" w:cs="Times New Roman"/>
                <w:sz w:val="21"/>
                <w:szCs w:val="21"/>
                <w:lang w:val="en-US" w:eastAsia="en-US" w:bidi="ar-SA"/>
              </w:rPr>
            </w:pPr>
          </w:p>
        </w:tc>
        <w:tc>
          <w:tcPr>
            <w:tcW w:w="918" w:type="dxa"/>
            <w:tcBorders>
              <w:top w:val="outset" w:color="auto" w:sz="6" w:space="0"/>
              <w:left w:val="outset" w:color="auto" w:sz="6" w:space="0"/>
              <w:right w:val="outset" w:color="auto" w:sz="6" w:space="0"/>
            </w:tcBorders>
            <w:noWrap w:val="0"/>
            <w:vAlign w:val="center"/>
          </w:tcPr>
          <w:p>
            <w:pPr>
              <w:keepNext w:val="0"/>
              <w:keepLines w:val="0"/>
              <w:widowControl/>
              <w:suppressLineNumbers w:val="0"/>
              <w:jc w:val="center"/>
              <w:textAlignment w:val="center"/>
              <w:rPr>
                <w:rFonts w:eastAsia="宋体"/>
                <w:sz w:val="21"/>
                <w:szCs w:val="21"/>
              </w:rPr>
            </w:pPr>
            <w:r>
              <w:rPr>
                <w:rFonts w:hint="eastAsia" w:ascii="等线" w:hAnsi="等线" w:eastAsia="等线" w:cs="等线"/>
                <w:i w:val="0"/>
                <w:color w:val="000000"/>
                <w:kern w:val="0"/>
                <w:sz w:val="21"/>
                <w:szCs w:val="21"/>
                <w:u w:val="none"/>
                <w:lang w:val="en-US" w:eastAsia="zh-CN" w:bidi="ar"/>
              </w:rPr>
              <w:t>10</w:t>
            </w:r>
          </w:p>
        </w:tc>
        <w:tc>
          <w:tcPr>
            <w:tcW w:w="800" w:type="dxa"/>
            <w:tcBorders>
              <w:top w:val="outset" w:color="auto" w:sz="6" w:space="0"/>
              <w:left w:val="outset" w:color="auto" w:sz="6" w:space="0"/>
              <w:right w:val="outset" w:color="auto" w:sz="6" w:space="0"/>
            </w:tcBorders>
            <w:noWrap w:val="0"/>
            <w:vAlign w:val="center"/>
          </w:tcPr>
          <w:p>
            <w:pPr>
              <w:keepNext w:val="0"/>
              <w:keepLines w:val="0"/>
              <w:widowControl/>
              <w:suppressLineNumbers w:val="0"/>
              <w:jc w:val="center"/>
              <w:textAlignment w:val="center"/>
              <w:rPr>
                <w:rFonts w:hint="eastAsia" w:eastAsia="宋体"/>
                <w:sz w:val="21"/>
                <w:szCs w:val="21"/>
                <w:lang w:val="en-US" w:eastAsia="zh-CN"/>
              </w:rPr>
            </w:pPr>
            <w:r>
              <w:rPr>
                <w:rFonts w:hint="eastAsia" w:eastAsia="宋体"/>
                <w:sz w:val="21"/>
                <w:szCs w:val="21"/>
                <w:lang w:val="en-US" w:eastAsia="zh-CN"/>
              </w:rPr>
              <w:t>套</w:t>
            </w:r>
          </w:p>
        </w:tc>
        <w:tc>
          <w:tcPr>
            <w:tcW w:w="1047" w:type="dxa"/>
            <w:tcBorders>
              <w:top w:val="outset" w:color="auto" w:sz="6" w:space="0"/>
              <w:left w:val="outset" w:color="auto" w:sz="6" w:space="0"/>
              <w:right w:val="outset" w:color="auto" w:sz="6" w:space="0"/>
            </w:tcBorders>
            <w:noWrap w:val="0"/>
            <w:vAlign w:val="center"/>
          </w:tcPr>
          <w:p>
            <w:pPr>
              <w:spacing w:line="360" w:lineRule="auto"/>
              <w:ind w:firstLine="420" w:firstLineChars="200"/>
              <w:jc w:val="center"/>
              <w:rPr>
                <w:rFonts w:ascii="Times New Roman" w:hAnsi="Times New Roman" w:eastAsia="宋体" w:cs="Times New Roman"/>
                <w:sz w:val="21"/>
                <w:szCs w:val="21"/>
                <w:lang w:val="en-US" w:eastAsia="en-US" w:bidi="ar-SA"/>
              </w:rPr>
            </w:pPr>
          </w:p>
        </w:tc>
        <w:tc>
          <w:tcPr>
            <w:tcW w:w="1161" w:type="dxa"/>
            <w:tcBorders>
              <w:top w:val="outset" w:color="auto" w:sz="6" w:space="0"/>
              <w:left w:val="outset" w:color="auto" w:sz="6" w:space="0"/>
              <w:right w:val="outset" w:color="auto" w:sz="6" w:space="0"/>
            </w:tcBorders>
            <w:noWrap w:val="0"/>
            <w:vAlign w:val="center"/>
          </w:tcPr>
          <w:p>
            <w:pPr>
              <w:spacing w:line="360" w:lineRule="auto"/>
              <w:ind w:firstLine="420" w:firstLineChars="200"/>
              <w:jc w:val="center"/>
              <w:rPr>
                <w:rFonts w:ascii="Times New Roman" w:hAnsi="Times New Roman" w:eastAsia="宋体" w:cs="Times New Roman"/>
                <w:sz w:val="21"/>
                <w:szCs w:val="21"/>
                <w:lang w:val="en-US" w:eastAsia="en-US" w:bidi="ar-SA"/>
              </w:rPr>
            </w:pPr>
          </w:p>
        </w:tc>
        <w:tc>
          <w:tcPr>
            <w:tcW w:w="49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ascii="Times New Roman" w:hAnsi="Times New Roman" w:eastAsia="宋体" w:cs="Times New Roman"/>
                <w:sz w:val="21"/>
                <w:szCs w:val="21"/>
                <w:lang w:val="en-US" w:eastAsia="en-US" w:bidi="ar-SA"/>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0" w:hRule="atLeast"/>
          <w:tblCellSpacing w:w="7" w:type="dxa"/>
        </w:trPr>
        <w:tc>
          <w:tcPr>
            <w:tcW w:w="817"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hint="eastAsia" w:eastAsia="宋体"/>
                <w:sz w:val="21"/>
                <w:szCs w:val="21"/>
                <w:lang w:val="en-US" w:eastAsia="zh-CN"/>
              </w:rPr>
            </w:pPr>
            <w:r>
              <w:rPr>
                <w:rFonts w:hint="eastAsia"/>
                <w:sz w:val="21"/>
                <w:szCs w:val="21"/>
                <w:lang w:val="en-US" w:eastAsia="zh-CN"/>
              </w:rPr>
              <w:t>2</w:t>
            </w:r>
          </w:p>
        </w:tc>
        <w:tc>
          <w:tcPr>
            <w:tcW w:w="1334"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en-US" w:bidi="ar-SA"/>
              </w:rPr>
            </w:pPr>
            <w:r>
              <w:rPr>
                <w:rFonts w:hint="eastAsia" w:ascii="等线" w:hAnsi="等线" w:eastAsia="等线" w:cs="等线"/>
                <w:i w:val="0"/>
                <w:color w:val="000000"/>
                <w:kern w:val="0"/>
                <w:sz w:val="21"/>
                <w:szCs w:val="21"/>
                <w:u w:val="none"/>
                <w:lang w:val="en-US" w:eastAsia="zh-CN" w:bidi="ar"/>
              </w:rPr>
              <w:t>铝模（梁、板模）</w:t>
            </w:r>
          </w:p>
        </w:tc>
        <w:tc>
          <w:tcPr>
            <w:tcW w:w="2311" w:type="dxa"/>
            <w:vMerge w:val="continue"/>
            <w:tcBorders>
              <w:left w:val="outset" w:color="auto" w:sz="6" w:space="0"/>
              <w:right w:val="outset" w:color="auto" w:sz="6" w:space="0"/>
            </w:tcBorders>
            <w:noWrap w:val="0"/>
            <w:vAlign w:val="center"/>
          </w:tcPr>
          <w:p>
            <w:pPr>
              <w:keepNext w:val="0"/>
              <w:keepLines w:val="0"/>
              <w:widowControl/>
              <w:suppressLineNumbers w:val="0"/>
              <w:jc w:val="center"/>
              <w:textAlignment w:val="center"/>
              <w:rPr>
                <w:rFonts w:eastAsia="宋体"/>
                <w:sz w:val="21"/>
                <w:szCs w:val="21"/>
              </w:rPr>
            </w:pPr>
          </w:p>
        </w:tc>
        <w:tc>
          <w:tcPr>
            <w:tcW w:w="10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91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eastAsia="宋体"/>
                <w:sz w:val="21"/>
                <w:szCs w:val="21"/>
                <w:lang w:val="en-US"/>
              </w:rPr>
            </w:pPr>
            <w:r>
              <w:rPr>
                <w:rFonts w:hint="eastAsia" w:ascii="等线" w:hAnsi="等线" w:eastAsia="等线" w:cs="等线"/>
                <w:i w:val="0"/>
                <w:color w:val="000000"/>
                <w:kern w:val="0"/>
                <w:sz w:val="21"/>
                <w:szCs w:val="21"/>
                <w:u w:val="none"/>
                <w:lang w:val="en-US" w:eastAsia="zh-CN" w:bidi="ar"/>
              </w:rPr>
              <w:t>20</w:t>
            </w:r>
          </w:p>
        </w:tc>
        <w:tc>
          <w:tcPr>
            <w:tcW w:w="80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eastAsia" w:eastAsia="宋体"/>
                <w:sz w:val="21"/>
                <w:szCs w:val="21"/>
                <w:lang w:val="en-US" w:eastAsia="zh-CN"/>
              </w:rPr>
            </w:pPr>
            <w:r>
              <w:rPr>
                <w:rFonts w:hint="eastAsia" w:eastAsia="宋体"/>
                <w:sz w:val="21"/>
                <w:szCs w:val="21"/>
                <w:lang w:val="en-US" w:eastAsia="zh-CN"/>
              </w:rPr>
              <w:t>套</w:t>
            </w:r>
          </w:p>
        </w:tc>
        <w:tc>
          <w:tcPr>
            <w:tcW w:w="10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116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49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0" w:hRule="atLeast"/>
          <w:tblCellSpacing w:w="7" w:type="dxa"/>
        </w:trPr>
        <w:tc>
          <w:tcPr>
            <w:tcW w:w="817"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hint="eastAsia" w:eastAsia="宋体"/>
                <w:sz w:val="21"/>
                <w:szCs w:val="21"/>
                <w:lang w:val="en-US" w:eastAsia="zh-CN"/>
              </w:rPr>
            </w:pPr>
            <w:r>
              <w:rPr>
                <w:rFonts w:hint="eastAsia"/>
                <w:sz w:val="21"/>
                <w:szCs w:val="21"/>
                <w:lang w:val="en-US" w:eastAsia="zh-CN"/>
              </w:rPr>
              <w:t>3</w:t>
            </w:r>
          </w:p>
        </w:tc>
        <w:tc>
          <w:tcPr>
            <w:tcW w:w="1334"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en-US" w:bidi="ar-SA"/>
              </w:rPr>
            </w:pPr>
            <w:r>
              <w:rPr>
                <w:rFonts w:hint="eastAsia" w:ascii="等线" w:hAnsi="等线" w:eastAsia="等线" w:cs="等线"/>
                <w:i w:val="0"/>
                <w:color w:val="000000"/>
                <w:kern w:val="0"/>
                <w:sz w:val="21"/>
                <w:szCs w:val="21"/>
                <w:u w:val="none"/>
                <w:lang w:val="en-US" w:eastAsia="zh-CN" w:bidi="ar"/>
              </w:rPr>
              <w:t>铝模（梁、板支撑）</w:t>
            </w:r>
          </w:p>
        </w:tc>
        <w:tc>
          <w:tcPr>
            <w:tcW w:w="2311" w:type="dxa"/>
            <w:vMerge w:val="continue"/>
            <w:tcBorders>
              <w:left w:val="outset" w:color="auto" w:sz="6" w:space="0"/>
              <w:right w:val="outset" w:color="auto" w:sz="6" w:space="0"/>
            </w:tcBorders>
            <w:noWrap w:val="0"/>
            <w:vAlign w:val="center"/>
          </w:tcPr>
          <w:p>
            <w:pPr>
              <w:keepNext w:val="0"/>
              <w:keepLines w:val="0"/>
              <w:widowControl/>
              <w:suppressLineNumbers w:val="0"/>
              <w:jc w:val="center"/>
              <w:textAlignment w:val="center"/>
              <w:rPr>
                <w:rFonts w:eastAsia="宋体"/>
                <w:sz w:val="21"/>
                <w:szCs w:val="21"/>
              </w:rPr>
            </w:pPr>
          </w:p>
        </w:tc>
        <w:tc>
          <w:tcPr>
            <w:tcW w:w="10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91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eastAsia="宋体"/>
                <w:sz w:val="21"/>
                <w:szCs w:val="21"/>
                <w:lang w:val="en-US"/>
              </w:rPr>
            </w:pPr>
            <w:r>
              <w:rPr>
                <w:rFonts w:hint="eastAsia" w:ascii="等线" w:hAnsi="等线" w:eastAsia="等线" w:cs="等线"/>
                <w:i w:val="0"/>
                <w:color w:val="000000"/>
                <w:kern w:val="0"/>
                <w:sz w:val="21"/>
                <w:szCs w:val="21"/>
                <w:u w:val="none"/>
                <w:lang w:val="en-US" w:eastAsia="zh-CN" w:bidi="ar"/>
              </w:rPr>
              <w:t>20</w:t>
            </w:r>
          </w:p>
        </w:tc>
        <w:tc>
          <w:tcPr>
            <w:tcW w:w="80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eastAsia="宋体"/>
                <w:sz w:val="21"/>
                <w:szCs w:val="21"/>
              </w:rPr>
            </w:pPr>
            <w:r>
              <w:rPr>
                <w:rFonts w:hint="eastAsia" w:ascii="等线" w:hAnsi="等线" w:eastAsia="等线" w:cs="等线"/>
                <w:i w:val="0"/>
                <w:color w:val="000000"/>
                <w:kern w:val="0"/>
                <w:sz w:val="21"/>
                <w:szCs w:val="21"/>
                <w:u w:val="none"/>
                <w:lang w:val="en-US" w:eastAsia="zh-CN" w:bidi="ar"/>
              </w:rPr>
              <w:t>套</w:t>
            </w:r>
          </w:p>
        </w:tc>
        <w:tc>
          <w:tcPr>
            <w:tcW w:w="10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116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49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trHeight w:val="0" w:hRule="atLeast"/>
          <w:tblCellSpacing w:w="7" w:type="dxa"/>
        </w:trPr>
        <w:tc>
          <w:tcPr>
            <w:tcW w:w="817" w:type="dxa"/>
            <w:tcBorders>
              <w:top w:val="outset" w:color="auto" w:sz="6" w:space="0"/>
              <w:left w:val="outset" w:color="auto" w:sz="6" w:space="0"/>
              <w:bottom w:val="outset" w:color="auto" w:sz="6" w:space="0"/>
              <w:right w:val="outset" w:color="auto" w:sz="6" w:space="0"/>
            </w:tcBorders>
            <w:noWrap w:val="0"/>
            <w:vAlign w:val="center"/>
          </w:tcPr>
          <w:p>
            <w:pPr>
              <w:spacing w:line="360" w:lineRule="auto"/>
              <w:jc w:val="center"/>
              <w:rPr>
                <w:rFonts w:hint="eastAsia" w:eastAsia="宋体"/>
                <w:sz w:val="21"/>
                <w:szCs w:val="21"/>
                <w:lang w:val="en-US" w:eastAsia="zh-CN"/>
              </w:rPr>
            </w:pPr>
            <w:r>
              <w:rPr>
                <w:rFonts w:hint="eastAsia"/>
                <w:sz w:val="21"/>
                <w:szCs w:val="21"/>
                <w:lang w:val="en-US" w:eastAsia="zh-CN"/>
              </w:rPr>
              <w:t>4</w:t>
            </w:r>
          </w:p>
        </w:tc>
        <w:tc>
          <w:tcPr>
            <w:tcW w:w="1334"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sz w:val="21"/>
                <w:szCs w:val="21"/>
                <w:lang w:val="en-US" w:eastAsia="zh-CN" w:bidi="ar-SA"/>
              </w:rPr>
            </w:pPr>
            <w:r>
              <w:rPr>
                <w:rFonts w:hint="eastAsia" w:ascii="等线" w:hAnsi="等线" w:eastAsia="等线" w:cs="等线"/>
                <w:i w:val="0"/>
                <w:color w:val="000000"/>
                <w:kern w:val="0"/>
                <w:sz w:val="21"/>
                <w:szCs w:val="21"/>
                <w:u w:val="none"/>
                <w:lang w:val="en-US" w:eastAsia="zh-CN" w:bidi="ar"/>
              </w:rPr>
              <w:t>铝模（墙支撑）</w:t>
            </w:r>
          </w:p>
        </w:tc>
        <w:tc>
          <w:tcPr>
            <w:tcW w:w="2311" w:type="dxa"/>
            <w:vMerge w:val="continue"/>
            <w:tcBorders>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eastAsia="宋体"/>
                <w:sz w:val="21"/>
                <w:szCs w:val="21"/>
              </w:rPr>
            </w:pPr>
          </w:p>
        </w:tc>
        <w:tc>
          <w:tcPr>
            <w:tcW w:w="1036"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918"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default" w:eastAsia="宋体"/>
                <w:sz w:val="21"/>
                <w:szCs w:val="21"/>
                <w:lang w:val="en-US"/>
              </w:rPr>
            </w:pPr>
            <w:r>
              <w:rPr>
                <w:rFonts w:hint="eastAsia" w:ascii="等线" w:hAnsi="等线" w:eastAsia="等线" w:cs="等线"/>
                <w:i w:val="0"/>
                <w:color w:val="000000"/>
                <w:kern w:val="0"/>
                <w:sz w:val="21"/>
                <w:szCs w:val="21"/>
                <w:u w:val="none"/>
                <w:lang w:val="en-US" w:eastAsia="zh-CN" w:bidi="ar"/>
              </w:rPr>
              <w:t>10</w:t>
            </w:r>
          </w:p>
        </w:tc>
        <w:tc>
          <w:tcPr>
            <w:tcW w:w="800" w:type="dxa"/>
            <w:tcBorders>
              <w:top w:val="outset" w:color="auto" w:sz="6" w:space="0"/>
              <w:left w:val="outset" w:color="auto" w:sz="6" w:space="0"/>
              <w:bottom w:val="outset" w:color="auto" w:sz="6" w:space="0"/>
              <w:right w:val="outset" w:color="auto" w:sz="6" w:space="0"/>
            </w:tcBorders>
            <w:noWrap w:val="0"/>
            <w:vAlign w:val="center"/>
          </w:tcPr>
          <w:p>
            <w:pPr>
              <w:keepNext w:val="0"/>
              <w:keepLines w:val="0"/>
              <w:widowControl/>
              <w:suppressLineNumbers w:val="0"/>
              <w:jc w:val="center"/>
              <w:textAlignment w:val="center"/>
              <w:rPr>
                <w:rFonts w:hint="eastAsia" w:eastAsia="宋体"/>
                <w:sz w:val="21"/>
                <w:szCs w:val="21"/>
                <w:lang w:val="en-US" w:eastAsia="zh-CN"/>
              </w:rPr>
            </w:pPr>
            <w:r>
              <w:rPr>
                <w:rFonts w:hint="eastAsia" w:eastAsia="宋体"/>
                <w:sz w:val="21"/>
                <w:szCs w:val="21"/>
                <w:lang w:val="en-US" w:eastAsia="zh-CN"/>
              </w:rPr>
              <w:t>套</w:t>
            </w:r>
          </w:p>
        </w:tc>
        <w:tc>
          <w:tcPr>
            <w:tcW w:w="1047"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1161"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c>
          <w:tcPr>
            <w:tcW w:w="494" w:type="dxa"/>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eastAsia="宋体"/>
                <w:sz w:val="21"/>
                <w:szCs w:val="21"/>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rPr>
          <w:gridAfter w:val="1"/>
          <w:wAfter w:w="494" w:type="dxa"/>
          <w:trHeight w:val="0" w:hRule="atLeast"/>
          <w:tblCellSpacing w:w="7" w:type="dxa"/>
        </w:trPr>
        <w:tc>
          <w:tcPr>
            <w:tcW w:w="9515" w:type="dxa"/>
            <w:gridSpan w:val="8"/>
            <w:tcBorders>
              <w:top w:val="outset" w:color="auto" w:sz="6" w:space="0"/>
              <w:left w:val="outset" w:color="auto" w:sz="6" w:space="0"/>
              <w:bottom w:val="outset" w:color="auto" w:sz="6" w:space="0"/>
              <w:right w:val="outset" w:color="auto" w:sz="6" w:space="0"/>
            </w:tcBorders>
            <w:noWrap w:val="0"/>
            <w:vAlign w:val="center"/>
          </w:tcPr>
          <w:p>
            <w:pPr>
              <w:spacing w:line="360" w:lineRule="auto"/>
              <w:ind w:firstLine="420" w:firstLineChars="200"/>
              <w:jc w:val="center"/>
              <w:rPr>
                <w:rFonts w:hint="default" w:eastAsia="宋体"/>
                <w:sz w:val="21"/>
                <w:szCs w:val="21"/>
                <w:lang w:val="en-US" w:eastAsia="zh-CN"/>
              </w:rPr>
            </w:pPr>
            <w:r>
              <w:rPr>
                <w:rFonts w:eastAsia="宋体"/>
                <w:sz w:val="21"/>
                <w:szCs w:val="21"/>
                <w:lang w:eastAsia="zh-CN"/>
              </w:rPr>
              <w:t>总　计</w:t>
            </w:r>
            <w:r>
              <w:rPr>
                <w:rFonts w:hint="eastAsia"/>
                <w:sz w:val="21"/>
                <w:szCs w:val="21"/>
                <w:lang w:eastAsia="zh-CN"/>
              </w:rPr>
              <w:t>（</w:t>
            </w:r>
            <w:r>
              <w:rPr>
                <w:rFonts w:hint="eastAsia"/>
                <w:sz w:val="21"/>
                <w:szCs w:val="21"/>
                <w:lang w:val="en-US" w:eastAsia="zh-CN"/>
              </w:rPr>
              <w:t>包含   费用</w:t>
            </w:r>
            <w:r>
              <w:rPr>
                <w:rFonts w:hint="eastAsia"/>
                <w:sz w:val="21"/>
                <w:szCs w:val="21"/>
                <w:lang w:eastAsia="zh-CN"/>
              </w:rPr>
              <w:t>）</w:t>
            </w:r>
            <w:r>
              <w:rPr>
                <w:rFonts w:eastAsia="宋体"/>
                <w:sz w:val="21"/>
                <w:szCs w:val="21"/>
                <w:lang w:eastAsia="zh-CN"/>
              </w:rPr>
              <w:t>： ￥           （大写：人民币）</w:t>
            </w:r>
            <w:r>
              <w:rPr>
                <w:rFonts w:hint="eastAsia"/>
                <w:sz w:val="21"/>
                <w:szCs w:val="21"/>
                <w:lang w:val="en-US" w:eastAsia="zh-CN"/>
              </w:rPr>
              <w:t xml:space="preserve">     交货港口：</w:t>
            </w:r>
          </w:p>
          <w:p>
            <w:pPr>
              <w:spacing w:line="360" w:lineRule="auto"/>
              <w:ind w:firstLine="420" w:firstLineChars="200"/>
              <w:jc w:val="center"/>
              <w:rPr>
                <w:rFonts w:eastAsia="宋体"/>
                <w:sz w:val="21"/>
                <w:szCs w:val="21"/>
                <w:lang w:eastAsia="zh-CN"/>
              </w:rPr>
            </w:pPr>
            <w:r>
              <w:rPr>
                <w:rFonts w:eastAsia="宋体"/>
                <w:sz w:val="21"/>
                <w:szCs w:val="21"/>
                <w:lang w:eastAsia="zh-CN"/>
              </w:rPr>
              <w:t>其中</w:t>
            </w:r>
            <w:r>
              <w:rPr>
                <w:rFonts w:hint="eastAsia" w:eastAsia="宋体"/>
                <w:sz w:val="21"/>
                <w:szCs w:val="21"/>
                <w:lang w:eastAsia="zh-CN"/>
              </w:rPr>
              <w:t>：货款</w:t>
            </w:r>
            <w:r>
              <w:rPr>
                <w:rFonts w:eastAsia="宋体"/>
                <w:sz w:val="21"/>
                <w:szCs w:val="21"/>
                <w:lang w:eastAsia="zh-CN"/>
              </w:rPr>
              <w:t>￥      （大写：人民币）</w:t>
            </w:r>
            <w:r>
              <w:rPr>
                <w:rFonts w:hint="eastAsia" w:eastAsia="宋体"/>
                <w:sz w:val="21"/>
                <w:szCs w:val="21"/>
                <w:lang w:eastAsia="zh-CN"/>
              </w:rPr>
              <w:t>；</w:t>
            </w:r>
            <w:r>
              <w:rPr>
                <w:rFonts w:eastAsia="宋体"/>
                <w:sz w:val="21"/>
                <w:szCs w:val="21"/>
                <w:lang w:eastAsia="zh-CN"/>
              </w:rPr>
              <w:t>税费</w:t>
            </w:r>
            <w:r>
              <w:rPr>
                <w:rFonts w:hint="eastAsia"/>
                <w:sz w:val="21"/>
                <w:szCs w:val="21"/>
                <w:lang w:eastAsia="zh-CN"/>
              </w:rPr>
              <w:t>（</w:t>
            </w:r>
            <w:r>
              <w:rPr>
                <w:rFonts w:hint="eastAsia"/>
                <w:sz w:val="21"/>
                <w:szCs w:val="21"/>
                <w:lang w:val="en-US" w:eastAsia="zh-CN"/>
              </w:rPr>
              <w:t>13%增值税</w:t>
            </w:r>
            <w:r>
              <w:rPr>
                <w:rFonts w:hint="eastAsia"/>
                <w:sz w:val="21"/>
                <w:szCs w:val="21"/>
                <w:lang w:eastAsia="zh-CN"/>
              </w:rPr>
              <w:t>）</w:t>
            </w:r>
            <w:r>
              <w:rPr>
                <w:rFonts w:eastAsia="宋体"/>
                <w:sz w:val="21"/>
                <w:szCs w:val="21"/>
                <w:lang w:eastAsia="zh-CN"/>
              </w:rPr>
              <w:t>￥        （大写：人民币）</w:t>
            </w:r>
          </w:p>
        </w:tc>
      </w:tr>
    </w:tbl>
    <w:p>
      <w:pPr>
        <w:spacing w:after="100" w:afterAutospacing="1" w:line="360" w:lineRule="auto"/>
        <w:ind w:left="1276"/>
        <w:rPr>
          <w:rFonts w:eastAsia="宋体"/>
          <w:lang w:eastAsia="zh-CN"/>
        </w:rPr>
      </w:pPr>
    </w:p>
    <w:p>
      <w:pPr>
        <w:numPr>
          <w:ilvl w:val="0"/>
          <w:numId w:val="10"/>
        </w:numPr>
        <w:tabs>
          <w:tab w:val="left" w:pos="1276"/>
        </w:tabs>
        <w:spacing w:after="100" w:afterAutospacing="1" w:line="360" w:lineRule="auto"/>
        <w:ind w:left="2" w:firstLine="565"/>
        <w:rPr>
          <w:rFonts w:eastAsia="宋体"/>
          <w:lang w:eastAsia="zh-CN"/>
        </w:rPr>
      </w:pPr>
      <w:r>
        <w:rPr>
          <w:rFonts w:eastAsia="宋体"/>
          <w:lang w:eastAsia="zh-CN"/>
        </w:rPr>
        <w:t>与交货有关的费用：（不限于）运输费、包装费、保险费等伴随服务的费用由卖方承担，未包含在合同价中。</w:t>
      </w:r>
    </w:p>
    <w:p>
      <w:pPr>
        <w:numPr>
          <w:ilvl w:val="0"/>
          <w:numId w:val="8"/>
        </w:numPr>
        <w:spacing w:after="100" w:afterAutospacing="1" w:line="360" w:lineRule="auto"/>
        <w:ind w:left="992" w:hanging="425"/>
        <w:outlineLvl w:val="1"/>
        <w:rPr>
          <w:rFonts w:eastAsia="宋体"/>
          <w:b/>
          <w:lang w:eastAsia="zh-CN"/>
        </w:rPr>
      </w:pPr>
      <w:bookmarkStart w:id="90" w:name="_Toc58577916"/>
      <w:bookmarkStart w:id="91" w:name="_Toc11933"/>
      <w:r>
        <w:rPr>
          <w:rFonts w:eastAsia="宋体"/>
          <w:b/>
          <w:lang w:eastAsia="zh-CN"/>
        </w:rPr>
        <w:t>合同价款支付</w:t>
      </w:r>
      <w:bookmarkEnd w:id="90"/>
      <w:bookmarkEnd w:id="91"/>
    </w:p>
    <w:p>
      <w:pPr>
        <w:numPr>
          <w:ilvl w:val="0"/>
          <w:numId w:val="11"/>
        </w:numPr>
        <w:tabs>
          <w:tab w:val="left" w:pos="1276"/>
        </w:tabs>
        <w:spacing w:line="360" w:lineRule="auto"/>
        <w:ind w:left="2" w:firstLine="565"/>
        <w:rPr>
          <w:rFonts w:eastAsia="宋体"/>
          <w:highlight w:val="none"/>
          <w:lang w:eastAsia="zh-CN"/>
        </w:rPr>
      </w:pPr>
      <w:r>
        <w:rPr>
          <w:rFonts w:eastAsia="宋体"/>
          <w:highlight w:val="none"/>
          <w:lang w:eastAsia="zh-CN"/>
        </w:rPr>
        <w:t>甲方应在合同签订之日</w:t>
      </w:r>
      <w:r>
        <w:rPr>
          <w:rFonts w:hint="eastAsia" w:eastAsia="宋体"/>
          <w:highlight w:val="none"/>
          <w:lang w:eastAsia="zh-CN"/>
        </w:rPr>
        <w:t>（并收到乙方开具的增值税专用发票）</w:t>
      </w:r>
      <w:r>
        <w:rPr>
          <w:rFonts w:eastAsia="宋体"/>
          <w:highlight w:val="none"/>
          <w:lang w:eastAsia="zh-CN"/>
        </w:rPr>
        <w:t>起五个工作日内支付给乙方合同总价的</w:t>
      </w:r>
      <w:r>
        <w:rPr>
          <w:rFonts w:hint="eastAsia"/>
          <w:highlight w:val="none"/>
          <w:u w:val="single"/>
          <w:lang w:val="en-US" w:eastAsia="zh-CN"/>
        </w:rPr>
        <w:t>30</w:t>
      </w:r>
      <w:r>
        <w:rPr>
          <w:rFonts w:eastAsia="宋体"/>
          <w:highlight w:val="none"/>
          <w:lang w:eastAsia="zh-CN"/>
        </w:rPr>
        <w:t>%即</w:t>
      </w:r>
      <w:r>
        <w:rPr>
          <w:rFonts w:eastAsia="宋体"/>
          <w:highlight w:val="none"/>
          <w:u w:val="single"/>
          <w:lang w:eastAsia="zh-CN"/>
        </w:rPr>
        <w:t xml:space="preserve">　　　　 </w:t>
      </w:r>
      <w:r>
        <w:rPr>
          <w:rFonts w:eastAsia="宋体"/>
          <w:highlight w:val="none"/>
          <w:lang w:eastAsia="zh-CN"/>
        </w:rPr>
        <w:t>元，作为合同预付款。</w:t>
      </w:r>
    </w:p>
    <w:p>
      <w:pPr>
        <w:numPr>
          <w:ilvl w:val="0"/>
          <w:numId w:val="11"/>
        </w:numPr>
        <w:tabs>
          <w:tab w:val="left" w:pos="1276"/>
        </w:tabs>
        <w:spacing w:line="360" w:lineRule="auto"/>
        <w:ind w:left="2" w:firstLine="565"/>
        <w:rPr>
          <w:rFonts w:eastAsia="宋体"/>
          <w:highlight w:val="none"/>
          <w:lang w:eastAsia="zh-CN"/>
        </w:rPr>
      </w:pPr>
      <w:r>
        <w:rPr>
          <w:rFonts w:hint="eastAsia" w:eastAsia="宋体"/>
          <w:highlight w:val="none"/>
          <w:lang w:eastAsia="zh-CN"/>
        </w:rPr>
        <w:t>甲方于乙方工厂验收合格</w:t>
      </w:r>
      <w:r>
        <w:rPr>
          <w:rFonts w:hint="eastAsia" w:eastAsia="宋体"/>
          <w:highlight w:val="none"/>
          <w:lang w:val="en-US" w:eastAsia="zh-CN"/>
        </w:rPr>
        <w:t>后</w:t>
      </w:r>
      <w:r>
        <w:rPr>
          <w:rFonts w:hint="eastAsia" w:eastAsia="宋体"/>
          <w:highlight w:val="none"/>
          <w:lang w:eastAsia="zh-CN"/>
        </w:rPr>
        <w:t>，以电汇方式支付乙方对应合同总金额</w:t>
      </w:r>
      <w:r>
        <w:rPr>
          <w:rFonts w:hint="eastAsia" w:eastAsia="宋体"/>
          <w:highlight w:val="none"/>
          <w:u w:val="single"/>
          <w:lang w:val="en-US" w:eastAsia="zh-CN"/>
        </w:rPr>
        <w:t>65</w:t>
      </w:r>
      <w:r>
        <w:rPr>
          <w:rFonts w:hint="eastAsia" w:eastAsia="宋体"/>
          <w:highlight w:val="none"/>
          <w:u w:val="single"/>
          <w:lang w:eastAsia="zh-CN"/>
        </w:rPr>
        <w:t>%</w:t>
      </w:r>
      <w:r>
        <w:rPr>
          <w:rFonts w:hint="eastAsia" w:eastAsia="宋体"/>
          <w:highlight w:val="none"/>
          <w:lang w:eastAsia="zh-CN"/>
        </w:rPr>
        <w:t>的货款，</w:t>
      </w:r>
      <w:r>
        <w:rPr>
          <w:rFonts w:hint="eastAsia" w:eastAsia="宋体"/>
          <w:highlight w:val="none"/>
          <w:lang w:val="en-US" w:eastAsia="zh-CN"/>
        </w:rPr>
        <w:t>即</w:t>
      </w:r>
      <w:r>
        <w:rPr>
          <w:rFonts w:hint="eastAsia" w:eastAsia="宋体"/>
          <w:highlight w:val="none"/>
          <w:u w:val="single"/>
          <w:lang w:val="en-US" w:eastAsia="zh-CN"/>
        </w:rPr>
        <w:t xml:space="preserve">       </w:t>
      </w:r>
      <w:r>
        <w:rPr>
          <w:rFonts w:hint="eastAsia" w:eastAsia="宋体"/>
          <w:highlight w:val="none"/>
          <w:u w:val="none"/>
          <w:lang w:val="en-US" w:eastAsia="zh-CN"/>
        </w:rPr>
        <w:t>元，</w:t>
      </w:r>
      <w:r>
        <w:rPr>
          <w:rFonts w:hint="eastAsia" w:eastAsia="宋体"/>
          <w:highlight w:val="none"/>
          <w:lang w:eastAsia="zh-CN"/>
        </w:rPr>
        <w:t>货款到账后乙方发货。</w:t>
      </w:r>
    </w:p>
    <w:p>
      <w:pPr>
        <w:numPr>
          <w:ilvl w:val="0"/>
          <w:numId w:val="11"/>
        </w:numPr>
        <w:tabs>
          <w:tab w:val="left" w:pos="1276"/>
          <w:tab w:val="left" w:pos="1701"/>
        </w:tabs>
        <w:spacing w:line="360" w:lineRule="auto"/>
        <w:ind w:left="2" w:firstLine="565"/>
        <w:rPr>
          <w:rFonts w:hint="eastAsia" w:eastAsia="宋体"/>
          <w:highlight w:val="none"/>
          <w:lang w:eastAsia="zh-CN"/>
        </w:rPr>
      </w:pPr>
      <w:r>
        <w:rPr>
          <w:rFonts w:hint="eastAsia" w:eastAsia="宋体"/>
          <w:highlight w:val="none"/>
          <w:lang w:eastAsia="zh-CN"/>
        </w:rPr>
        <w:t>剩余的合同总价的</w:t>
      </w:r>
      <w:r>
        <w:rPr>
          <w:rFonts w:hint="eastAsia"/>
          <w:highlight w:val="none"/>
          <w:u w:val="single"/>
          <w:lang w:val="en-US" w:eastAsia="zh-CN"/>
        </w:rPr>
        <w:t>5</w:t>
      </w:r>
      <w:r>
        <w:rPr>
          <w:rFonts w:eastAsia="宋体"/>
          <w:highlight w:val="none"/>
          <w:lang w:eastAsia="zh-CN"/>
        </w:rPr>
        <w:t>%即</w:t>
      </w:r>
      <w:r>
        <w:rPr>
          <w:rFonts w:eastAsia="宋体"/>
          <w:highlight w:val="none"/>
          <w:u w:val="single"/>
          <w:lang w:eastAsia="zh-CN"/>
        </w:rPr>
        <w:t>　　　</w:t>
      </w:r>
      <w:r>
        <w:rPr>
          <w:rFonts w:eastAsia="宋体"/>
          <w:highlight w:val="none"/>
          <w:lang w:eastAsia="zh-CN"/>
        </w:rPr>
        <w:t>元</w:t>
      </w:r>
      <w:r>
        <w:rPr>
          <w:rFonts w:hint="eastAsia" w:eastAsia="宋体"/>
          <w:highlight w:val="none"/>
          <w:lang w:eastAsia="zh-CN"/>
        </w:rPr>
        <w:t>货款作为质保金，</w:t>
      </w:r>
      <w:r>
        <w:rPr>
          <w:rFonts w:hint="eastAsia"/>
          <w:highlight w:val="none"/>
        </w:rPr>
        <w:t>在顺利完成最后一层铝模板施工后3天内以电汇形式支付</w:t>
      </w:r>
      <w:r>
        <w:rPr>
          <w:rFonts w:hint="eastAsia" w:eastAsia="宋体"/>
          <w:highlight w:val="none"/>
          <w:lang w:eastAsia="zh-CN"/>
        </w:rPr>
        <w:t>。</w:t>
      </w:r>
    </w:p>
    <w:p>
      <w:pPr>
        <w:numPr>
          <w:ilvl w:val="0"/>
          <w:numId w:val="11"/>
        </w:numPr>
        <w:tabs>
          <w:tab w:val="left" w:pos="1276"/>
        </w:tabs>
        <w:spacing w:line="360" w:lineRule="auto"/>
        <w:ind w:left="2" w:firstLine="565"/>
        <w:rPr>
          <w:rFonts w:eastAsia="宋体"/>
          <w:lang w:eastAsia="zh-CN"/>
        </w:rPr>
      </w:pPr>
      <w:r>
        <w:rPr>
          <w:rFonts w:eastAsia="宋体"/>
          <w:lang w:eastAsia="zh-CN"/>
        </w:rPr>
        <w:t>甲方以对公转账方式将相应货款支付至合同约定的乙方指定的账户，如因乙方提供的账户存在问题导致买方无法按期付款的，甲方不承担由此给乙方造成的任何损失，乙方亦不得要求甲方承担逾期付款违约金。</w:t>
      </w:r>
    </w:p>
    <w:p>
      <w:pPr>
        <w:numPr>
          <w:ilvl w:val="0"/>
          <w:numId w:val="8"/>
        </w:numPr>
        <w:spacing w:before="100" w:beforeAutospacing="1" w:after="100" w:afterAutospacing="1" w:line="360" w:lineRule="auto"/>
        <w:ind w:left="992" w:hanging="425"/>
        <w:outlineLvl w:val="1"/>
        <w:rPr>
          <w:rFonts w:eastAsia="宋体"/>
          <w:b/>
          <w:lang w:eastAsia="zh-CN"/>
        </w:rPr>
      </w:pPr>
      <w:bookmarkStart w:id="92" w:name="_Toc58577917"/>
      <w:bookmarkStart w:id="93" w:name="_Toc8719"/>
      <w:r>
        <w:rPr>
          <w:rFonts w:eastAsia="宋体"/>
          <w:b/>
          <w:lang w:eastAsia="zh-CN"/>
        </w:rPr>
        <w:t>使用合同文件和资料</w:t>
      </w:r>
      <w:bookmarkEnd w:id="92"/>
      <w:bookmarkEnd w:id="93"/>
    </w:p>
    <w:p>
      <w:pPr>
        <w:numPr>
          <w:ilvl w:val="0"/>
          <w:numId w:val="12"/>
        </w:numPr>
        <w:tabs>
          <w:tab w:val="left" w:pos="567"/>
          <w:tab w:val="left" w:pos="1276"/>
        </w:tabs>
        <w:spacing w:line="360" w:lineRule="auto"/>
        <w:ind w:left="-2" w:leftChars="-1" w:firstLine="565"/>
        <w:rPr>
          <w:rFonts w:eastAsia="宋体"/>
          <w:lang w:eastAsia="zh-CN"/>
        </w:rPr>
      </w:pPr>
      <w:r>
        <w:rPr>
          <w:rFonts w:hint="eastAsia" w:eastAsia="宋体"/>
          <w:lang w:eastAsia="zh-CN"/>
        </w:rPr>
        <w:t>未经</w:t>
      </w:r>
      <w:r>
        <w:rPr>
          <w:rFonts w:eastAsia="宋体"/>
          <w:lang w:eastAsia="zh-CN"/>
        </w:rPr>
        <w:t>甲方事先书面同意，乙方不得将由甲方或代表甲方提供的有关合同或任何合同条文、规格、计划、图纸、模型、样品或资料提供给与履行本合同无关的任何其他人。</w:t>
      </w:r>
    </w:p>
    <w:p>
      <w:pPr>
        <w:numPr>
          <w:ilvl w:val="0"/>
          <w:numId w:val="12"/>
        </w:numPr>
        <w:tabs>
          <w:tab w:val="left" w:pos="567"/>
          <w:tab w:val="left" w:pos="1276"/>
        </w:tabs>
        <w:spacing w:line="360" w:lineRule="auto"/>
        <w:ind w:left="-2" w:leftChars="-1" w:firstLine="565"/>
        <w:rPr>
          <w:rFonts w:eastAsia="宋体"/>
          <w:lang w:eastAsia="zh-CN"/>
        </w:rPr>
      </w:pPr>
      <w:r>
        <w:rPr>
          <w:rFonts w:hint="eastAsia" w:eastAsia="宋体"/>
          <w:lang w:eastAsia="zh-CN"/>
        </w:rPr>
        <w:t>未经</w:t>
      </w:r>
      <w:r>
        <w:rPr>
          <w:rFonts w:eastAsia="宋体"/>
          <w:lang w:eastAsia="zh-CN"/>
        </w:rPr>
        <w:t>甲方事先书面同意，除了履行本合同之外，乙方不应使用在本次采购过程中获取的与甲方及本次采购相关的任何文件和资料。</w:t>
      </w:r>
    </w:p>
    <w:p>
      <w:pPr>
        <w:numPr>
          <w:ilvl w:val="0"/>
          <w:numId w:val="8"/>
        </w:numPr>
        <w:spacing w:before="100" w:beforeAutospacing="1" w:after="100" w:afterAutospacing="1" w:line="360" w:lineRule="auto"/>
        <w:ind w:left="992" w:hanging="425"/>
        <w:outlineLvl w:val="1"/>
        <w:rPr>
          <w:rFonts w:eastAsia="宋体"/>
          <w:b/>
          <w:lang w:eastAsia="zh-CN"/>
        </w:rPr>
      </w:pPr>
      <w:bookmarkStart w:id="94" w:name="_Toc19450"/>
      <w:bookmarkStart w:id="95" w:name="_Toc58577918"/>
      <w:r>
        <w:rPr>
          <w:rFonts w:eastAsia="宋体"/>
          <w:b/>
          <w:lang w:eastAsia="zh-CN"/>
        </w:rPr>
        <w:t>交货验收</w:t>
      </w:r>
      <w:bookmarkEnd w:id="94"/>
      <w:bookmarkEnd w:id="95"/>
    </w:p>
    <w:p>
      <w:pPr>
        <w:numPr>
          <w:ilvl w:val="0"/>
          <w:numId w:val="13"/>
        </w:numPr>
        <w:tabs>
          <w:tab w:val="left" w:pos="567"/>
          <w:tab w:val="left" w:pos="1276"/>
        </w:tabs>
        <w:spacing w:line="360" w:lineRule="auto"/>
        <w:ind w:left="-2" w:leftChars="-1" w:firstLine="565"/>
        <w:rPr>
          <w:rFonts w:eastAsia="宋体"/>
          <w:lang w:eastAsia="zh-CN"/>
        </w:rPr>
      </w:pPr>
      <w:r>
        <w:rPr>
          <w:rFonts w:eastAsia="宋体"/>
          <w:lang w:eastAsia="zh-CN"/>
        </w:rPr>
        <w:t>在交货前，乙方</w:t>
      </w:r>
      <w:r>
        <w:rPr>
          <w:rFonts w:hint="eastAsia" w:eastAsia="宋体"/>
          <w:lang w:eastAsia="zh-CN"/>
        </w:rPr>
        <w:t>须</w:t>
      </w:r>
      <w:r>
        <w:rPr>
          <w:rFonts w:eastAsia="宋体"/>
          <w:lang w:eastAsia="zh-CN"/>
        </w:rPr>
        <w:t>对货物的质量、规格、数量和重量等进行详细而全面的检验，并交与甲方出厂检验合格证和交货检验记录，但不作为有关质量、规格、数量或重量的最终检验。</w:t>
      </w:r>
      <w:r>
        <w:rPr>
          <w:rFonts w:hint="eastAsia" w:eastAsia="宋体"/>
          <w:lang w:eastAsia="zh-CN"/>
        </w:rPr>
        <w:t>最终检验以甲方出具的验收单据为准。</w:t>
      </w:r>
    </w:p>
    <w:p>
      <w:pPr>
        <w:numPr>
          <w:ilvl w:val="0"/>
          <w:numId w:val="13"/>
        </w:numPr>
        <w:tabs>
          <w:tab w:val="left" w:pos="567"/>
          <w:tab w:val="left" w:pos="1276"/>
        </w:tabs>
        <w:spacing w:line="360" w:lineRule="auto"/>
        <w:ind w:left="-2" w:leftChars="-1" w:firstLine="565"/>
        <w:rPr>
          <w:rFonts w:eastAsia="宋体"/>
          <w:lang w:eastAsia="zh-CN"/>
        </w:rPr>
      </w:pPr>
      <w:r>
        <w:rPr>
          <w:rFonts w:eastAsia="宋体"/>
          <w:lang w:eastAsia="zh-CN"/>
        </w:rPr>
        <w:t>验收应依据本合同约定的相关要求和标准，如合同未明确约定的，按照合同法的有关规定办理。验收结果应经双方签字确认。</w:t>
      </w:r>
    </w:p>
    <w:p>
      <w:pPr>
        <w:numPr>
          <w:ilvl w:val="0"/>
          <w:numId w:val="13"/>
        </w:numPr>
        <w:tabs>
          <w:tab w:val="left" w:pos="567"/>
          <w:tab w:val="left" w:pos="1276"/>
        </w:tabs>
        <w:spacing w:line="360" w:lineRule="auto"/>
        <w:ind w:left="-2" w:leftChars="-1" w:firstLine="565"/>
        <w:rPr>
          <w:rFonts w:eastAsia="宋体"/>
          <w:lang w:eastAsia="zh-CN"/>
        </w:rPr>
      </w:pPr>
      <w:r>
        <w:rPr>
          <w:rFonts w:eastAsia="宋体"/>
          <w:lang w:eastAsia="zh-CN"/>
        </w:rPr>
        <w:t>验收结果与合同约定不符的，乙方应按照甲方的要求办理退换货等相关事宜，并承担由此给甲方造成的损失。如乙方拒绝配合甲方办理退换货的，甲方有权解除合同并要求乙方</w:t>
      </w:r>
      <w:r>
        <w:rPr>
          <w:rFonts w:hint="eastAsia" w:eastAsia="宋体"/>
          <w:lang w:eastAsia="zh-CN"/>
        </w:rPr>
        <w:t>赔偿由此给甲方造成的损失，同时</w:t>
      </w:r>
      <w:r>
        <w:rPr>
          <w:rFonts w:eastAsia="宋体"/>
          <w:lang w:eastAsia="zh-CN"/>
        </w:rPr>
        <w:t>承担合同价款30%的违约金。</w:t>
      </w:r>
    </w:p>
    <w:p>
      <w:pPr>
        <w:numPr>
          <w:ilvl w:val="0"/>
          <w:numId w:val="13"/>
        </w:numPr>
        <w:tabs>
          <w:tab w:val="left" w:pos="567"/>
          <w:tab w:val="left" w:pos="1276"/>
        </w:tabs>
        <w:spacing w:line="360" w:lineRule="auto"/>
        <w:ind w:left="-2" w:leftChars="-1" w:firstLine="565"/>
        <w:rPr>
          <w:rFonts w:eastAsia="宋体"/>
          <w:lang w:eastAsia="zh-CN"/>
        </w:rPr>
      </w:pPr>
      <w:r>
        <w:rPr>
          <w:rFonts w:eastAsia="宋体"/>
          <w:lang w:eastAsia="zh-CN"/>
        </w:rPr>
        <w:t>验收注意事项：乙方必须在甲方在场的情况下当场拆封合同项下的所有货物的包装，验收完成后甲乙双方当场在《验收报告》上签字盖章，《验收报告》作为甲方向乙方因短少、缺陷、或其他与合同不符合情形索赔的有效证据。</w:t>
      </w:r>
    </w:p>
    <w:p>
      <w:pPr>
        <w:numPr>
          <w:ilvl w:val="0"/>
          <w:numId w:val="13"/>
        </w:numPr>
        <w:tabs>
          <w:tab w:val="left" w:pos="567"/>
          <w:tab w:val="left" w:pos="1276"/>
        </w:tabs>
        <w:spacing w:line="360" w:lineRule="auto"/>
        <w:ind w:left="-2" w:leftChars="-1" w:firstLine="565"/>
        <w:rPr>
          <w:rFonts w:eastAsia="宋体"/>
          <w:lang w:eastAsia="zh-CN"/>
        </w:rPr>
      </w:pPr>
      <w:r>
        <w:rPr>
          <w:rFonts w:eastAsia="宋体"/>
          <w:lang w:eastAsia="zh-CN"/>
        </w:rPr>
        <w:t>如乙方对验收结果有异议的，应当场向甲方提出，乙方不得在签署《验收报告》后再行提出异议。乙方提出质量异议时，甲方应配合乙方封存该批货物，留待甲乙双方共同抽样并交双方认可的或相关部门指定的国家认定检测机构检验，其检验结果即为最终结果。若货物经检验合格，相关检测费用及运输费用由甲方负责；若货物经检验不合格，相关检测费用及运输费用由乙方负责。如本合同货物无相关检测机构可进行质量鉴定，则以甲方验收结果为准。</w:t>
      </w:r>
    </w:p>
    <w:p>
      <w:pPr>
        <w:numPr>
          <w:ilvl w:val="0"/>
          <w:numId w:val="8"/>
        </w:numPr>
        <w:spacing w:before="100" w:beforeAutospacing="1" w:after="100" w:afterAutospacing="1" w:line="360" w:lineRule="auto"/>
        <w:ind w:left="992" w:hanging="425"/>
        <w:outlineLvl w:val="1"/>
        <w:rPr>
          <w:rFonts w:eastAsia="宋体"/>
          <w:b/>
          <w:lang w:eastAsia="zh-CN"/>
        </w:rPr>
      </w:pPr>
      <w:bookmarkStart w:id="96" w:name="_Toc58577919"/>
      <w:bookmarkStart w:id="97" w:name="_Toc30820"/>
      <w:r>
        <w:rPr>
          <w:rFonts w:eastAsia="宋体"/>
          <w:b/>
          <w:lang w:eastAsia="zh-CN"/>
        </w:rPr>
        <w:t>包装及运输</w:t>
      </w:r>
      <w:bookmarkEnd w:id="96"/>
      <w:bookmarkEnd w:id="97"/>
    </w:p>
    <w:p>
      <w:pPr>
        <w:numPr>
          <w:ilvl w:val="0"/>
          <w:numId w:val="14"/>
        </w:numPr>
        <w:tabs>
          <w:tab w:val="left" w:pos="567"/>
          <w:tab w:val="left" w:pos="1276"/>
        </w:tabs>
        <w:spacing w:line="360" w:lineRule="auto"/>
        <w:ind w:left="0" w:firstLine="495" w:firstLineChars="236"/>
        <w:rPr>
          <w:rFonts w:eastAsia="宋体"/>
          <w:lang w:eastAsia="zh-CN"/>
        </w:rPr>
      </w:pPr>
      <w:r>
        <w:rPr>
          <w:rFonts w:eastAsia="宋体"/>
          <w:lang w:eastAsia="zh-CN"/>
        </w:rPr>
        <w:t>乙方应提供货物运至合同规定的最终目的地所需要的包装，以防止货物在转运或仓储中损坏或变质。这类包装应采取国家或专业标准，包括防潮、防晒、防锈、防腐蚀、防震动及防止其他损坏的必要措施。包装应足以承受整个过程中的运输、转运、装卸、储存等，充分考虑到运输途中的各种情况（如暴露于恶劣气候等）和气候特点，以及仓储存放的需要。</w:t>
      </w:r>
    </w:p>
    <w:p>
      <w:pPr>
        <w:numPr>
          <w:ilvl w:val="0"/>
          <w:numId w:val="14"/>
        </w:numPr>
        <w:tabs>
          <w:tab w:val="left" w:pos="567"/>
          <w:tab w:val="left" w:pos="1276"/>
        </w:tabs>
        <w:spacing w:line="360" w:lineRule="auto"/>
        <w:ind w:left="0" w:firstLine="495" w:firstLineChars="236"/>
        <w:rPr>
          <w:rFonts w:eastAsia="宋体"/>
          <w:lang w:eastAsia="zh-CN"/>
        </w:rPr>
      </w:pPr>
      <w:r>
        <w:rPr>
          <w:rFonts w:eastAsia="宋体"/>
          <w:lang w:eastAsia="zh-CN"/>
        </w:rPr>
        <w:t>包装不符合标准或约定，造成货物毁损灭失或其他后果的，由乙方承担相应的责任。</w:t>
      </w:r>
    </w:p>
    <w:p>
      <w:pPr>
        <w:numPr>
          <w:ilvl w:val="0"/>
          <w:numId w:val="14"/>
        </w:numPr>
        <w:tabs>
          <w:tab w:val="left" w:pos="567"/>
          <w:tab w:val="left" w:pos="1276"/>
        </w:tabs>
        <w:spacing w:line="360" w:lineRule="auto"/>
        <w:ind w:left="0" w:firstLine="495" w:firstLineChars="236"/>
        <w:rPr>
          <w:rFonts w:eastAsia="宋体"/>
          <w:lang w:eastAsia="zh-CN"/>
        </w:rPr>
      </w:pPr>
      <w:r>
        <w:rPr>
          <w:rFonts w:eastAsia="宋体"/>
          <w:lang w:eastAsia="zh-CN"/>
        </w:rPr>
        <w:t>乙方负责合同项下的货物运输到双方约定的指定地点，并承担运费。</w:t>
      </w:r>
    </w:p>
    <w:p>
      <w:pPr>
        <w:numPr>
          <w:ilvl w:val="0"/>
          <w:numId w:val="14"/>
        </w:numPr>
        <w:tabs>
          <w:tab w:val="left" w:pos="567"/>
          <w:tab w:val="left" w:pos="1276"/>
        </w:tabs>
        <w:spacing w:line="360" w:lineRule="auto"/>
        <w:ind w:left="0" w:firstLine="495" w:firstLineChars="236"/>
        <w:rPr>
          <w:rFonts w:eastAsia="宋体"/>
          <w:lang w:eastAsia="zh-CN"/>
        </w:rPr>
      </w:pPr>
      <w:r>
        <w:rPr>
          <w:rFonts w:hint="eastAsia" w:eastAsia="宋体"/>
          <w:lang w:eastAsia="zh-CN"/>
        </w:rPr>
        <w:t>货物在装卸、运输过程中的全部风险均由乙方承担。</w:t>
      </w:r>
    </w:p>
    <w:p>
      <w:pPr>
        <w:numPr>
          <w:ilvl w:val="0"/>
          <w:numId w:val="8"/>
        </w:numPr>
        <w:spacing w:before="100" w:beforeAutospacing="1" w:after="100" w:afterAutospacing="1" w:line="360" w:lineRule="auto"/>
        <w:ind w:left="992" w:hanging="425"/>
        <w:outlineLvl w:val="1"/>
        <w:rPr>
          <w:rFonts w:eastAsia="宋体"/>
          <w:b/>
          <w:lang w:eastAsia="zh-CN"/>
        </w:rPr>
      </w:pPr>
      <w:bookmarkStart w:id="98" w:name="_Toc58577920"/>
      <w:bookmarkStart w:id="99" w:name="_Toc4047"/>
      <w:r>
        <w:rPr>
          <w:rFonts w:eastAsia="宋体"/>
          <w:b/>
          <w:lang w:eastAsia="zh-CN"/>
        </w:rPr>
        <w:t>知识产权</w:t>
      </w:r>
      <w:bookmarkEnd w:id="98"/>
      <w:bookmarkEnd w:id="99"/>
    </w:p>
    <w:p>
      <w:pPr>
        <w:numPr>
          <w:ilvl w:val="0"/>
          <w:numId w:val="15"/>
        </w:numPr>
        <w:tabs>
          <w:tab w:val="left" w:pos="1276"/>
        </w:tabs>
        <w:spacing w:before="100" w:beforeAutospacing="1" w:after="100" w:afterAutospacing="1" w:line="360" w:lineRule="auto"/>
        <w:ind w:left="2" w:firstLine="565"/>
        <w:outlineLvl w:val="0"/>
        <w:rPr>
          <w:rFonts w:eastAsia="宋体"/>
          <w:b/>
          <w:lang w:eastAsia="zh-CN"/>
        </w:rPr>
      </w:pPr>
      <w:bookmarkStart w:id="100" w:name="_Toc58577921"/>
      <w:bookmarkStart w:id="101" w:name="_Toc18150"/>
      <w:bookmarkStart w:id="102" w:name="_Toc25092"/>
      <w:r>
        <w:rPr>
          <w:rFonts w:eastAsia="宋体"/>
          <w:lang w:eastAsia="zh-CN"/>
        </w:rPr>
        <w:t>乙方提供给甲方的货物不得侵犯第三人的权利，乙方应保证甲方在使用该货物或其任何一部分时免受第三方提出侵犯其任何专利、注册的设计、版权、商标或商品名称或其他知识产权工业设计权的起诉及索赔。若甲方受到此类索赔或起诉，其责任及给甲方造成的一切损失由乙方承担，甲方有权解除合同，同时乙方应向甲方支付合同总额的</w:t>
      </w:r>
      <w:r>
        <w:rPr>
          <w:rFonts w:eastAsia="宋体"/>
          <w:u w:val="single"/>
          <w:lang w:eastAsia="zh-CN"/>
        </w:rPr>
        <w:t>30</w:t>
      </w:r>
      <w:r>
        <w:rPr>
          <w:rFonts w:eastAsia="宋体"/>
          <w:lang w:eastAsia="zh-CN"/>
        </w:rPr>
        <w:t>%的违约金。</w:t>
      </w:r>
      <w:bookmarkEnd w:id="100"/>
      <w:bookmarkEnd w:id="101"/>
      <w:bookmarkEnd w:id="102"/>
    </w:p>
    <w:p>
      <w:pPr>
        <w:numPr>
          <w:ilvl w:val="0"/>
          <w:numId w:val="8"/>
        </w:numPr>
        <w:spacing w:before="100" w:beforeAutospacing="1" w:after="100" w:afterAutospacing="1" w:line="360" w:lineRule="auto"/>
        <w:ind w:left="992" w:hanging="425"/>
        <w:outlineLvl w:val="0"/>
        <w:rPr>
          <w:rFonts w:eastAsia="宋体"/>
          <w:b/>
          <w:lang w:eastAsia="zh-CN"/>
        </w:rPr>
      </w:pPr>
      <w:bookmarkStart w:id="103" w:name="_Toc58577922"/>
      <w:bookmarkStart w:id="104" w:name="_Toc5814"/>
      <w:r>
        <w:rPr>
          <w:rFonts w:eastAsia="宋体"/>
          <w:b/>
          <w:lang w:eastAsia="zh-CN"/>
        </w:rPr>
        <w:t>不可抗力</w:t>
      </w:r>
      <w:bookmarkEnd w:id="103"/>
      <w:bookmarkEnd w:id="104"/>
    </w:p>
    <w:p>
      <w:pPr>
        <w:numPr>
          <w:ilvl w:val="0"/>
          <w:numId w:val="16"/>
        </w:numPr>
        <w:tabs>
          <w:tab w:val="left" w:pos="567"/>
          <w:tab w:val="left" w:pos="1276"/>
        </w:tabs>
        <w:spacing w:line="360" w:lineRule="auto"/>
        <w:ind w:left="0" w:firstLine="495" w:firstLineChars="236"/>
        <w:rPr>
          <w:rFonts w:eastAsia="宋体"/>
          <w:lang w:eastAsia="zh-CN"/>
        </w:rPr>
      </w:pPr>
      <w:r>
        <w:rPr>
          <w:rFonts w:eastAsia="宋体"/>
          <w:lang w:eastAsia="zh-CN"/>
        </w:rPr>
        <w:t>签约各方任何一方由于受不可抗力事件的影响而不能执行合同时，履行合同的期限应予以延长，其延长的期限应相当于事件所影响的时间。不可抗力事件是指签约各方在缔结合同时所不能预见的、并且它的发生及其后果是无法避免和无法克服的事件，诸如战争、洪水、台风、地震等。</w:t>
      </w:r>
    </w:p>
    <w:p>
      <w:pPr>
        <w:numPr>
          <w:ilvl w:val="0"/>
          <w:numId w:val="16"/>
        </w:numPr>
        <w:tabs>
          <w:tab w:val="left" w:pos="567"/>
          <w:tab w:val="left" w:pos="1276"/>
        </w:tabs>
        <w:spacing w:line="360" w:lineRule="auto"/>
        <w:ind w:left="0" w:firstLine="495" w:firstLineChars="236"/>
        <w:rPr>
          <w:rFonts w:eastAsia="宋体"/>
          <w:lang w:eastAsia="zh-CN"/>
        </w:rPr>
      </w:pPr>
      <w:r>
        <w:rPr>
          <w:rFonts w:eastAsia="宋体"/>
          <w:lang w:eastAsia="zh-CN"/>
        </w:rPr>
        <w:t>受阻一方应在不可抗力事件发生后尽快用电报、传真或电传通知对方，并于事件发生后（　　）日内将有关当局出具的证明文件用特快专递或挂号信寄给对方审阅同意。一旦不可抗力事件的影响持续（　　）日以上，双方应通过友好协商在合理的时间内达成进一步履行合同的协议或协商一致解除协议。</w:t>
      </w:r>
    </w:p>
    <w:p>
      <w:pPr>
        <w:numPr>
          <w:ilvl w:val="0"/>
          <w:numId w:val="8"/>
        </w:numPr>
        <w:spacing w:before="100" w:beforeAutospacing="1" w:after="100" w:afterAutospacing="1" w:line="360" w:lineRule="auto"/>
        <w:ind w:left="992" w:hanging="425"/>
        <w:outlineLvl w:val="0"/>
        <w:rPr>
          <w:rFonts w:eastAsia="宋体"/>
          <w:b/>
          <w:lang w:eastAsia="zh-CN"/>
        </w:rPr>
      </w:pPr>
      <w:bookmarkStart w:id="105" w:name="_Toc22690"/>
      <w:bookmarkStart w:id="106" w:name="_Toc58577923"/>
      <w:r>
        <w:rPr>
          <w:rFonts w:eastAsia="宋体"/>
          <w:b/>
          <w:lang w:eastAsia="zh-CN"/>
        </w:rPr>
        <w:t>合同变更与修改</w:t>
      </w:r>
      <w:bookmarkEnd w:id="105"/>
      <w:bookmarkEnd w:id="106"/>
    </w:p>
    <w:p>
      <w:pPr>
        <w:numPr>
          <w:ilvl w:val="0"/>
          <w:numId w:val="17"/>
        </w:numPr>
        <w:tabs>
          <w:tab w:val="left" w:pos="567"/>
          <w:tab w:val="left" w:pos="1276"/>
        </w:tabs>
        <w:spacing w:line="360" w:lineRule="auto"/>
        <w:ind w:left="2" w:firstLine="565"/>
        <w:rPr>
          <w:rFonts w:eastAsia="宋体"/>
          <w:lang w:eastAsia="zh-CN"/>
        </w:rPr>
      </w:pPr>
      <w:r>
        <w:rPr>
          <w:rFonts w:eastAsia="宋体"/>
          <w:lang w:eastAsia="zh-CN"/>
        </w:rPr>
        <w:t>因甲方的原因变更合同货物的，甲方应以书面形式通知乙方，并经双方协商一致签订有关变更文件。如因此造成乙方履行合同义务的价格或时间增减，将对合同价、交货时间进行公平调整。乙方据此要求的调整必须在收到甲方通知</w:t>
      </w:r>
      <w:r>
        <w:rPr>
          <w:rFonts w:hint="eastAsia" w:eastAsia="宋体"/>
          <w:lang w:eastAsia="zh-CN"/>
        </w:rPr>
        <w:t>当</w:t>
      </w:r>
      <w:r>
        <w:rPr>
          <w:rFonts w:eastAsia="宋体"/>
          <w:lang w:eastAsia="zh-CN"/>
        </w:rPr>
        <w:t>日提出</w:t>
      </w:r>
      <w:r>
        <w:rPr>
          <w:rFonts w:hint="eastAsia" w:eastAsia="宋体"/>
          <w:lang w:eastAsia="zh-CN"/>
        </w:rPr>
        <w:t>，如乙方未提出的则视为乙方无条件接受甲方的变更要求，乙方未按照甲方变更要求履行合同的，乙方应当承担由此给甲方造成的一切损失。</w:t>
      </w:r>
    </w:p>
    <w:p>
      <w:pPr>
        <w:numPr>
          <w:ilvl w:val="0"/>
          <w:numId w:val="17"/>
        </w:numPr>
        <w:tabs>
          <w:tab w:val="left" w:pos="567"/>
          <w:tab w:val="left" w:pos="1276"/>
        </w:tabs>
        <w:spacing w:line="360" w:lineRule="auto"/>
        <w:ind w:left="2" w:firstLine="565"/>
        <w:rPr>
          <w:rFonts w:eastAsia="宋体"/>
          <w:lang w:eastAsia="zh-CN"/>
        </w:rPr>
      </w:pPr>
      <w:r>
        <w:rPr>
          <w:rFonts w:eastAsia="宋体"/>
          <w:lang w:eastAsia="zh-CN"/>
        </w:rPr>
        <w:t>无论是按原合同要求，或是根据现场实际情况作出变更提供货物，乙方都不能免除其对货物应承担的责任。</w:t>
      </w:r>
    </w:p>
    <w:p>
      <w:pPr>
        <w:numPr>
          <w:ilvl w:val="0"/>
          <w:numId w:val="17"/>
        </w:numPr>
        <w:tabs>
          <w:tab w:val="left" w:pos="567"/>
          <w:tab w:val="left" w:pos="1276"/>
        </w:tabs>
        <w:spacing w:line="360" w:lineRule="auto"/>
        <w:ind w:left="2" w:firstLine="565"/>
        <w:rPr>
          <w:rFonts w:eastAsia="宋体"/>
          <w:lang w:eastAsia="zh-CN"/>
        </w:rPr>
      </w:pPr>
      <w:r>
        <w:rPr>
          <w:rFonts w:eastAsia="宋体"/>
          <w:lang w:eastAsia="zh-CN"/>
        </w:rPr>
        <w:t>除了甲乙双方签订书面修改协议，并成为本合同不可分割的一部分的情况之外，任何一方不得对本合同的条款擅自做任何变化或修改。</w:t>
      </w:r>
    </w:p>
    <w:p>
      <w:pPr>
        <w:numPr>
          <w:ilvl w:val="0"/>
          <w:numId w:val="8"/>
        </w:numPr>
        <w:tabs>
          <w:tab w:val="left" w:pos="1134"/>
        </w:tabs>
        <w:spacing w:before="100" w:beforeAutospacing="1" w:after="100" w:afterAutospacing="1" w:line="360" w:lineRule="auto"/>
        <w:ind w:left="992" w:hanging="425"/>
        <w:outlineLvl w:val="0"/>
        <w:rPr>
          <w:rFonts w:eastAsia="宋体"/>
          <w:b/>
          <w:lang w:eastAsia="zh-CN"/>
        </w:rPr>
      </w:pPr>
      <w:bookmarkStart w:id="107" w:name="_Toc58577924"/>
      <w:bookmarkStart w:id="108" w:name="_Toc3339"/>
      <w:r>
        <w:rPr>
          <w:rFonts w:eastAsia="宋体"/>
          <w:b/>
          <w:lang w:eastAsia="zh-CN"/>
        </w:rPr>
        <w:t>质量保证与违约索赔</w:t>
      </w:r>
      <w:bookmarkEnd w:id="107"/>
      <w:bookmarkEnd w:id="108"/>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乙方保证提供的合同项下全部货物必须是完全符合合同约定的质量、规格和数量等要求，并有产品合格证或产品质量证明书。严禁提供假冒伪劣过期的产品，一经发现，甲方有权拒收或作退货处理，并解除本合同，且因此而产生的一切费用和责任由乙方承担，同时乙方应向甲方支付该货物合同总价</w:t>
      </w:r>
      <w:r>
        <w:rPr>
          <w:rFonts w:eastAsia="宋体"/>
          <w:u w:val="single"/>
          <w:lang w:eastAsia="zh-CN"/>
        </w:rPr>
        <w:t>30</w:t>
      </w:r>
      <w:r>
        <w:rPr>
          <w:rFonts w:eastAsia="宋体"/>
          <w:lang w:eastAsia="zh-CN"/>
        </w:rPr>
        <w:t>%的违约金。</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若货物出现质量问题，不论质量原因，不合格货物占送检货物的比例大于或等于</w:t>
      </w:r>
      <w:r>
        <w:rPr>
          <w:rFonts w:eastAsia="宋体"/>
          <w:u w:val="single"/>
          <w:lang w:eastAsia="zh-CN"/>
        </w:rPr>
        <w:t>　　</w:t>
      </w:r>
      <w:r>
        <w:rPr>
          <w:rFonts w:eastAsia="宋体"/>
          <w:lang w:eastAsia="zh-CN"/>
        </w:rPr>
        <w:t>%（比例设置视具体货物而定）时，甲方有权就当批次货物作全部退货处理，乙方将甲方已付的该货物的所有款项退还甲方，乙方承担由此发生的一切损失和费用，包括但不限于运费、保险费、检验费、仓储费、装卸费以及为保管、维护和退回所发生的其它所需的费用，并向甲方支付该货物合同价的</w:t>
      </w:r>
      <w:r>
        <w:rPr>
          <w:rFonts w:eastAsia="宋体"/>
          <w:u w:val="single"/>
          <w:lang w:eastAsia="zh-CN"/>
        </w:rPr>
        <w:t>30</w:t>
      </w:r>
      <w:r>
        <w:rPr>
          <w:rFonts w:eastAsia="宋体"/>
          <w:lang w:eastAsia="zh-CN"/>
        </w:rPr>
        <w:t>%的违约金。因甲方退货导致甲方的相关业务遭受损失的，甲方有权要求赔偿另行采购类似产品的损失。</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乙方保证按照合同要求的交货时间交货，如有延误，乙方应书面通知甲方。除非甲乙双方同意延迟交货外，否则乙方每延迟一天，按延迟交货的货款的</w:t>
      </w:r>
      <w:r>
        <w:rPr>
          <w:rFonts w:hint="eastAsia" w:eastAsia="宋体"/>
          <w:u w:val="single"/>
          <w:lang w:eastAsia="zh-CN"/>
        </w:rPr>
        <w:t>万分之五</w:t>
      </w:r>
      <w:r>
        <w:rPr>
          <w:rFonts w:eastAsia="宋体"/>
          <w:lang w:eastAsia="zh-CN"/>
        </w:rPr>
        <w:t>计算向甲方支付逾期交货违约金。如果乙方未按合同执行或因疏忽而未能履行本合同项下义务以致严重影响项目进行时，或误期违约金额超过货物总价的</w:t>
      </w:r>
      <w:r>
        <w:rPr>
          <w:rFonts w:eastAsia="宋体"/>
          <w:u w:val="single"/>
          <w:lang w:eastAsia="zh-CN"/>
        </w:rPr>
        <w:t>　　</w:t>
      </w:r>
      <w:r>
        <w:rPr>
          <w:rFonts w:eastAsia="宋体"/>
          <w:lang w:eastAsia="zh-CN"/>
        </w:rPr>
        <w:t>％，甲方有权单方解除本合同。如果延迟是由于不可抗力事件造成，到货时间可在征得甲方同意后相应延长。</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未经甲方同意，乙方拒不履行合同或部分不履行合同，导致合同解除或部分解除的，乙方按解除部分合同金额的</w:t>
      </w:r>
      <w:r>
        <w:rPr>
          <w:rFonts w:eastAsia="宋体"/>
          <w:u w:val="single"/>
          <w:lang w:eastAsia="zh-CN"/>
        </w:rPr>
        <w:t>30</w:t>
      </w:r>
      <w:r>
        <w:rPr>
          <w:rFonts w:eastAsia="宋体"/>
          <w:lang w:eastAsia="zh-CN"/>
        </w:rPr>
        <w:t>%向甲方支付违约金。</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由于乙方提供的发票不符合税务部门的要求，从而给甲方造成的经济损失，由乙方负责赔偿。乙方开具的发票在送达甲方后如发生丢失、灭失、或被盗等乙方有义务配合甲方按照税法规定和甲方的要求在税法规定期限内办理有关的进项税额的认证抵扣手续。</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如果甲方所遭受的实际损失超过违约金，乙方应对超出违约金部分的损失给予赔偿。</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如果在甲方发出索赔通知</w:t>
      </w:r>
      <w:r>
        <w:rPr>
          <w:rFonts w:hint="eastAsia" w:eastAsia="宋体"/>
          <w:lang w:eastAsia="zh-CN"/>
        </w:rPr>
        <w:t>当日</w:t>
      </w:r>
      <w:r>
        <w:rPr>
          <w:rFonts w:eastAsia="宋体"/>
          <w:lang w:eastAsia="zh-CN"/>
        </w:rPr>
        <w:t>，乙方未作答复，上述索赔应视为已被乙方接受。如乙方未能在甲方发出索赔通知之日起三天内或甲方同意的延长期限内，按照甲方要求或同意的任何一种方法解决索赔事宜，甲方将从议付货款或从卖方开具的履约保证金中扣回索赔金额。不足以赔偿买方损失的，买方有权向卖方追偿。</w:t>
      </w:r>
    </w:p>
    <w:p>
      <w:pPr>
        <w:numPr>
          <w:ilvl w:val="0"/>
          <w:numId w:val="18"/>
        </w:numPr>
        <w:tabs>
          <w:tab w:val="left" w:pos="0"/>
          <w:tab w:val="left" w:pos="1276"/>
        </w:tabs>
        <w:spacing w:line="360" w:lineRule="auto"/>
        <w:ind w:left="-2" w:leftChars="-1" w:firstLine="565"/>
        <w:rPr>
          <w:rFonts w:eastAsia="宋体"/>
          <w:lang w:eastAsia="zh-CN"/>
        </w:rPr>
      </w:pPr>
      <w:r>
        <w:rPr>
          <w:rFonts w:eastAsia="宋体"/>
          <w:lang w:eastAsia="zh-CN"/>
        </w:rPr>
        <w:t>乙方严格按照合同要求履行其服务承诺。</w:t>
      </w:r>
    </w:p>
    <w:p>
      <w:pPr>
        <w:numPr>
          <w:ilvl w:val="0"/>
          <w:numId w:val="8"/>
        </w:numPr>
        <w:tabs>
          <w:tab w:val="left" w:pos="1134"/>
        </w:tabs>
        <w:spacing w:before="100" w:beforeAutospacing="1" w:after="100" w:afterAutospacing="1" w:line="360" w:lineRule="auto"/>
        <w:ind w:left="992" w:hanging="425"/>
        <w:outlineLvl w:val="0"/>
        <w:rPr>
          <w:rFonts w:eastAsia="宋体"/>
          <w:b/>
          <w:lang w:eastAsia="zh-CN"/>
        </w:rPr>
      </w:pPr>
      <w:bookmarkStart w:id="109" w:name="_Toc29366"/>
      <w:bookmarkStart w:id="110" w:name="_Toc58577925"/>
      <w:r>
        <w:rPr>
          <w:rFonts w:eastAsia="宋体"/>
          <w:b/>
          <w:lang w:eastAsia="zh-CN"/>
        </w:rPr>
        <w:t>合同解除和终止</w:t>
      </w:r>
      <w:bookmarkEnd w:id="109"/>
      <w:bookmarkEnd w:id="110"/>
    </w:p>
    <w:p>
      <w:pPr>
        <w:numPr>
          <w:ilvl w:val="0"/>
          <w:numId w:val="19"/>
        </w:numPr>
        <w:tabs>
          <w:tab w:val="left" w:pos="0"/>
          <w:tab w:val="left" w:pos="1276"/>
        </w:tabs>
        <w:spacing w:line="360" w:lineRule="auto"/>
        <w:ind w:hanging="993"/>
        <w:rPr>
          <w:rFonts w:eastAsia="宋体"/>
          <w:lang w:eastAsia="zh-CN"/>
        </w:rPr>
      </w:pPr>
      <w:r>
        <w:rPr>
          <w:rFonts w:eastAsia="宋体"/>
          <w:lang w:eastAsia="zh-CN"/>
        </w:rPr>
        <w:t>甲乙双方各自完成合同规定的责任和义务，合同自然终止。</w:t>
      </w:r>
    </w:p>
    <w:p>
      <w:pPr>
        <w:numPr>
          <w:ilvl w:val="0"/>
          <w:numId w:val="19"/>
        </w:numPr>
        <w:tabs>
          <w:tab w:val="left" w:pos="0"/>
          <w:tab w:val="left" w:pos="1276"/>
        </w:tabs>
        <w:spacing w:line="360" w:lineRule="auto"/>
        <w:ind w:left="0" w:firstLine="495" w:firstLineChars="236"/>
        <w:rPr>
          <w:rFonts w:eastAsia="宋体"/>
          <w:lang w:eastAsia="zh-CN"/>
        </w:rPr>
      </w:pPr>
      <w:r>
        <w:rPr>
          <w:rFonts w:eastAsia="宋体"/>
          <w:lang w:eastAsia="zh-CN"/>
        </w:rPr>
        <w:t>当发生下列情况时，甲方可向乙方发出书面的违约通知书，提出终止部分或全部合同：</w:t>
      </w:r>
    </w:p>
    <w:p>
      <w:pPr>
        <w:numPr>
          <w:ilvl w:val="0"/>
          <w:numId w:val="20"/>
        </w:numPr>
        <w:tabs>
          <w:tab w:val="left" w:pos="0"/>
          <w:tab w:val="left" w:pos="1276"/>
        </w:tabs>
        <w:spacing w:line="360" w:lineRule="auto"/>
        <w:rPr>
          <w:rFonts w:eastAsia="宋体"/>
          <w:lang w:eastAsia="zh-CN"/>
        </w:rPr>
      </w:pPr>
      <w:r>
        <w:rPr>
          <w:rFonts w:eastAsia="宋体"/>
          <w:lang w:eastAsia="zh-CN"/>
        </w:rPr>
        <w:t>在10.2条情况下发生甲方退货时；</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如果乙方未能在合同规定的限期或甲方同意延长的限期内提供部分或全部货物；</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乙方没有甲方的书面同意转让合同或将部分或整个合同项目分包出去；</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由于乙方违约行为而导致该项行为的违约金金额达到合同规定的最高限额；</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如果乙方未能履行合同规定的其它任何义务；</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如果乙方破产或无清偿能力，甲方可在任何时候以书面形式通知乙方，提出终止合同而不给乙方补偿。该合同的终止将不损害或影响甲方已经采取或将要采取的任何行动或补救措施的权力；</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如果甲方认为乙方在本合同的竞争和实施过程中有腐败和欺诈行为。为此目的，定义下述条件：</w:t>
      </w:r>
    </w:p>
    <w:p>
      <w:pPr>
        <w:tabs>
          <w:tab w:val="left" w:pos="0"/>
          <w:tab w:val="left" w:pos="1276"/>
        </w:tabs>
        <w:spacing w:line="360" w:lineRule="auto"/>
        <w:ind w:firstLine="420" w:firstLineChars="200"/>
        <w:rPr>
          <w:rFonts w:eastAsia="宋体"/>
          <w:lang w:eastAsia="zh-CN"/>
        </w:rPr>
      </w:pPr>
      <w:r>
        <w:rPr>
          <w:rFonts w:eastAsia="宋体"/>
          <w:lang w:eastAsia="zh-CN"/>
        </w:rPr>
        <w:t>a．“腐败行为”是指提供、给予、接受或索取任何有价值的物品来影响买方在采购过程或合同实施过程中的行为。</w:t>
      </w:r>
    </w:p>
    <w:p>
      <w:pPr>
        <w:tabs>
          <w:tab w:val="left" w:pos="0"/>
          <w:tab w:val="left" w:pos="1276"/>
        </w:tabs>
        <w:spacing w:line="360" w:lineRule="auto"/>
        <w:ind w:firstLine="420" w:firstLineChars="200"/>
        <w:rPr>
          <w:rFonts w:eastAsia="宋体"/>
          <w:lang w:eastAsia="zh-CN"/>
        </w:rPr>
      </w:pPr>
      <w:r>
        <w:rPr>
          <w:rFonts w:eastAsia="宋体"/>
          <w:lang w:eastAsia="zh-CN"/>
        </w:rPr>
        <w:t>b．“欺诈行为”是指为了影响采购过程或合同实施过程而谎报或隐瞒事实，损害买方利益的行为。</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根据 11.2 条规定合同终止后，甲方可自己或由任何其他供应商（承包商）完成本合同项目，甲方有权要求乙方支付完成本合同项目所招致的所有增加的费用。</w:t>
      </w:r>
    </w:p>
    <w:p>
      <w:pPr>
        <w:numPr>
          <w:ilvl w:val="0"/>
          <w:numId w:val="20"/>
        </w:numPr>
        <w:tabs>
          <w:tab w:val="left" w:pos="0"/>
          <w:tab w:val="left" w:pos="1276"/>
        </w:tabs>
        <w:spacing w:line="360" w:lineRule="auto"/>
        <w:ind w:left="0" w:firstLine="495" w:firstLineChars="236"/>
        <w:rPr>
          <w:rFonts w:eastAsia="宋体"/>
          <w:lang w:eastAsia="zh-CN"/>
        </w:rPr>
      </w:pPr>
      <w:r>
        <w:rPr>
          <w:rFonts w:eastAsia="宋体"/>
          <w:lang w:eastAsia="zh-CN"/>
        </w:rPr>
        <w:t>如果甲方根据 11.2 条的规定，终止了部分合同，甲方可以依其认为适当的条件和方法购买与未交货物类似的货物或服务，乙方应承担甲方因购买类似货物或服务而产生的增加的支出。但是，乙方须继续执行合同中未终止的部分。</w:t>
      </w:r>
    </w:p>
    <w:p>
      <w:pPr>
        <w:numPr>
          <w:ilvl w:val="0"/>
          <w:numId w:val="8"/>
        </w:numPr>
        <w:tabs>
          <w:tab w:val="left" w:pos="1134"/>
        </w:tabs>
        <w:spacing w:before="100" w:beforeAutospacing="1" w:after="100" w:afterAutospacing="1" w:line="360" w:lineRule="auto"/>
        <w:ind w:left="992" w:hanging="425"/>
        <w:outlineLvl w:val="0"/>
        <w:rPr>
          <w:rFonts w:eastAsia="宋体"/>
          <w:b/>
          <w:lang w:eastAsia="zh-CN"/>
        </w:rPr>
      </w:pPr>
      <w:bookmarkStart w:id="111" w:name="_Toc9391"/>
      <w:bookmarkStart w:id="112" w:name="_Toc58577926"/>
      <w:r>
        <w:rPr>
          <w:rFonts w:eastAsia="宋体"/>
          <w:b/>
          <w:lang w:eastAsia="zh-CN"/>
        </w:rPr>
        <w:t>争议解决</w:t>
      </w:r>
      <w:bookmarkEnd w:id="111"/>
      <w:bookmarkEnd w:id="112"/>
    </w:p>
    <w:p>
      <w:pPr>
        <w:numPr>
          <w:ilvl w:val="0"/>
          <w:numId w:val="21"/>
        </w:numPr>
        <w:tabs>
          <w:tab w:val="left" w:pos="0"/>
          <w:tab w:val="left" w:pos="1276"/>
        </w:tabs>
        <w:spacing w:line="360" w:lineRule="auto"/>
        <w:ind w:left="-2" w:leftChars="-1" w:firstLine="565"/>
        <w:rPr>
          <w:rFonts w:eastAsia="宋体"/>
          <w:lang w:eastAsia="zh-CN"/>
        </w:rPr>
      </w:pPr>
      <w:r>
        <w:rPr>
          <w:rFonts w:eastAsia="宋体"/>
          <w:lang w:eastAsia="zh-CN"/>
        </w:rPr>
        <w:t>凡与本合同有关的一切争议，甲乙双方应首先通过友好协商解决，如经协商后仍不能达成协议时，任何一方可以</w:t>
      </w:r>
      <w:r>
        <w:rPr>
          <w:rFonts w:hint="eastAsia" w:eastAsia="宋体"/>
          <w:lang w:eastAsia="zh-CN"/>
        </w:rPr>
        <w:t>提交厦门仲裁委员会按照简易程序进行仲裁，双方同意开庭地点设在福州。仲裁裁决是终局的，对双方均有约束力。</w:t>
      </w:r>
    </w:p>
    <w:p>
      <w:pPr>
        <w:numPr>
          <w:ilvl w:val="0"/>
          <w:numId w:val="21"/>
        </w:numPr>
        <w:tabs>
          <w:tab w:val="left" w:pos="0"/>
          <w:tab w:val="left" w:pos="1276"/>
        </w:tabs>
        <w:spacing w:line="360" w:lineRule="auto"/>
        <w:ind w:left="-2" w:leftChars="-1" w:firstLine="565"/>
        <w:rPr>
          <w:rFonts w:eastAsia="宋体"/>
          <w:lang w:eastAsia="zh-CN"/>
        </w:rPr>
      </w:pPr>
      <w:r>
        <w:rPr>
          <w:rFonts w:eastAsia="宋体"/>
          <w:lang w:eastAsia="zh-CN"/>
        </w:rPr>
        <w:t>因</w:t>
      </w:r>
      <w:r>
        <w:rPr>
          <w:rFonts w:hint="eastAsia" w:eastAsia="宋体"/>
          <w:lang w:eastAsia="zh-CN"/>
        </w:rPr>
        <w:t>解决纠纷而</w:t>
      </w:r>
      <w:r>
        <w:rPr>
          <w:rFonts w:eastAsia="宋体"/>
          <w:lang w:eastAsia="zh-CN"/>
        </w:rPr>
        <w:t>发生的费用，包括但不限于</w:t>
      </w:r>
      <w:r>
        <w:rPr>
          <w:rFonts w:hint="eastAsia" w:eastAsia="宋体"/>
          <w:lang w:eastAsia="zh-CN"/>
        </w:rPr>
        <w:t>仲裁</w:t>
      </w:r>
      <w:r>
        <w:rPr>
          <w:rFonts w:eastAsia="宋体"/>
          <w:lang w:eastAsia="zh-CN"/>
        </w:rPr>
        <w:t>费、律师费、保全费、申请执行费用、差旅费等</w:t>
      </w:r>
      <w:r>
        <w:rPr>
          <w:rFonts w:hint="eastAsia" w:eastAsia="宋体"/>
          <w:lang w:eastAsia="zh-CN"/>
        </w:rPr>
        <w:t>费用（仲裁委</w:t>
      </w:r>
      <w:r>
        <w:rPr>
          <w:rFonts w:eastAsia="宋体"/>
          <w:lang w:eastAsia="zh-CN"/>
        </w:rPr>
        <w:t>另有</w:t>
      </w:r>
      <w:r>
        <w:rPr>
          <w:rFonts w:hint="eastAsia" w:eastAsia="宋体"/>
          <w:lang w:eastAsia="zh-CN"/>
        </w:rPr>
        <w:t>裁决的除外）</w:t>
      </w:r>
      <w:r>
        <w:rPr>
          <w:rFonts w:eastAsia="宋体"/>
          <w:lang w:eastAsia="zh-CN"/>
        </w:rPr>
        <w:t>均应由败诉方负担。</w:t>
      </w:r>
    </w:p>
    <w:p>
      <w:pPr>
        <w:numPr>
          <w:ilvl w:val="0"/>
          <w:numId w:val="21"/>
        </w:numPr>
        <w:tabs>
          <w:tab w:val="left" w:pos="0"/>
          <w:tab w:val="left" w:pos="1276"/>
        </w:tabs>
        <w:spacing w:line="360" w:lineRule="auto"/>
        <w:ind w:left="-2" w:leftChars="-1" w:firstLine="565"/>
        <w:rPr>
          <w:rFonts w:eastAsia="宋体"/>
          <w:lang w:eastAsia="zh-CN"/>
        </w:rPr>
      </w:pPr>
      <w:r>
        <w:rPr>
          <w:rFonts w:eastAsia="宋体"/>
          <w:lang w:eastAsia="zh-CN"/>
        </w:rPr>
        <w:t>相关法律文书（含</w:t>
      </w:r>
      <w:r>
        <w:rPr>
          <w:rFonts w:hint="eastAsia" w:eastAsia="宋体"/>
          <w:lang w:eastAsia="zh-CN"/>
        </w:rPr>
        <w:t>仲裁</w:t>
      </w:r>
      <w:r>
        <w:rPr>
          <w:rFonts w:eastAsia="宋体"/>
          <w:lang w:eastAsia="zh-CN"/>
        </w:rPr>
        <w:t>法律文书）的送交以邮递送达本合同记载的对方当事人住所地（如有变更，应书面通知对方及</w:t>
      </w:r>
      <w:r>
        <w:rPr>
          <w:rFonts w:hint="eastAsia" w:eastAsia="宋体"/>
          <w:lang w:eastAsia="zh-CN"/>
        </w:rPr>
        <w:t>仲裁委</w:t>
      </w:r>
      <w:r>
        <w:rPr>
          <w:rFonts w:eastAsia="宋体"/>
          <w:lang w:eastAsia="zh-CN"/>
        </w:rPr>
        <w:t>）即视为送达。</w:t>
      </w:r>
    </w:p>
    <w:p>
      <w:pPr>
        <w:numPr>
          <w:ilvl w:val="0"/>
          <w:numId w:val="21"/>
        </w:numPr>
        <w:tabs>
          <w:tab w:val="left" w:pos="0"/>
          <w:tab w:val="left" w:pos="1276"/>
        </w:tabs>
        <w:spacing w:line="360" w:lineRule="auto"/>
        <w:ind w:left="-2" w:leftChars="-1" w:firstLine="565"/>
        <w:rPr>
          <w:rFonts w:eastAsia="宋体"/>
          <w:lang w:eastAsia="zh-CN"/>
        </w:rPr>
      </w:pPr>
      <w:r>
        <w:rPr>
          <w:rFonts w:eastAsia="宋体"/>
          <w:lang w:eastAsia="zh-CN"/>
        </w:rPr>
        <w:t>在</w:t>
      </w:r>
      <w:r>
        <w:rPr>
          <w:rFonts w:hint="eastAsia" w:eastAsia="宋体"/>
          <w:lang w:eastAsia="zh-CN"/>
        </w:rPr>
        <w:t>仲裁委</w:t>
      </w:r>
      <w:r>
        <w:rPr>
          <w:rFonts w:eastAsia="宋体"/>
          <w:lang w:eastAsia="zh-CN"/>
        </w:rPr>
        <w:t>审理期间，除提交</w:t>
      </w:r>
      <w:r>
        <w:rPr>
          <w:rFonts w:hint="eastAsia" w:eastAsia="宋体"/>
          <w:lang w:eastAsia="zh-CN"/>
        </w:rPr>
        <w:t>仲裁委</w:t>
      </w:r>
      <w:r>
        <w:rPr>
          <w:rFonts w:eastAsia="宋体"/>
          <w:lang w:eastAsia="zh-CN"/>
        </w:rPr>
        <w:t>审理的事项外，合同其他部分如甲方要求继续履行的，乙方仍应继续履行。</w:t>
      </w:r>
    </w:p>
    <w:p>
      <w:pPr>
        <w:numPr>
          <w:ilvl w:val="0"/>
          <w:numId w:val="21"/>
        </w:numPr>
        <w:tabs>
          <w:tab w:val="left" w:pos="0"/>
          <w:tab w:val="left" w:pos="1276"/>
        </w:tabs>
        <w:spacing w:line="360" w:lineRule="auto"/>
        <w:ind w:left="-2" w:leftChars="-1" w:firstLine="565"/>
        <w:rPr>
          <w:rFonts w:eastAsia="宋体"/>
          <w:lang w:eastAsia="zh-CN"/>
        </w:rPr>
      </w:pPr>
      <w:r>
        <w:rPr>
          <w:rFonts w:eastAsia="宋体"/>
          <w:lang w:eastAsia="zh-CN"/>
        </w:rPr>
        <w:t>合同适用中华人民共和国的现行法律。</w:t>
      </w:r>
    </w:p>
    <w:p>
      <w:pPr>
        <w:numPr>
          <w:ilvl w:val="0"/>
          <w:numId w:val="8"/>
        </w:numPr>
        <w:tabs>
          <w:tab w:val="left" w:pos="1134"/>
        </w:tabs>
        <w:spacing w:before="100" w:beforeAutospacing="1" w:after="100" w:afterAutospacing="1" w:line="360" w:lineRule="auto"/>
        <w:ind w:left="992" w:hanging="425"/>
        <w:outlineLvl w:val="0"/>
        <w:rPr>
          <w:rFonts w:eastAsia="宋体"/>
          <w:b/>
          <w:lang w:eastAsia="zh-CN"/>
        </w:rPr>
      </w:pPr>
      <w:bookmarkStart w:id="113" w:name="_Toc25285"/>
      <w:bookmarkStart w:id="114" w:name="_Toc58577927"/>
      <w:r>
        <w:rPr>
          <w:rFonts w:eastAsia="宋体"/>
          <w:b/>
          <w:lang w:eastAsia="zh-CN"/>
        </w:rPr>
        <w:t>附则</w:t>
      </w:r>
      <w:bookmarkEnd w:id="113"/>
      <w:bookmarkEnd w:id="114"/>
    </w:p>
    <w:p>
      <w:pPr>
        <w:numPr>
          <w:ilvl w:val="0"/>
          <w:numId w:val="22"/>
        </w:numPr>
        <w:tabs>
          <w:tab w:val="left" w:pos="567"/>
          <w:tab w:val="left" w:pos="1276"/>
        </w:tabs>
        <w:spacing w:line="360" w:lineRule="auto"/>
        <w:ind w:left="2" w:firstLine="565"/>
        <w:rPr>
          <w:rFonts w:eastAsia="宋体"/>
          <w:lang w:eastAsia="zh-CN"/>
        </w:rPr>
      </w:pPr>
      <w:r>
        <w:rPr>
          <w:rFonts w:eastAsia="宋体"/>
          <w:lang w:eastAsia="zh-CN"/>
        </w:rPr>
        <w:t>本合同自双方盖章之日起生效，其生效日为双方均盖章之日期。</w:t>
      </w:r>
    </w:p>
    <w:p>
      <w:pPr>
        <w:numPr>
          <w:ilvl w:val="0"/>
          <w:numId w:val="22"/>
        </w:numPr>
        <w:tabs>
          <w:tab w:val="left" w:pos="567"/>
          <w:tab w:val="left" w:pos="1276"/>
        </w:tabs>
        <w:spacing w:line="360" w:lineRule="auto"/>
        <w:ind w:left="2" w:firstLine="565"/>
        <w:rPr>
          <w:rFonts w:eastAsia="宋体"/>
          <w:lang w:eastAsia="zh-CN"/>
        </w:rPr>
      </w:pPr>
      <w:r>
        <w:rPr>
          <w:rFonts w:eastAsia="宋体"/>
          <w:lang w:eastAsia="zh-CN"/>
        </w:rPr>
        <w:t>在执行本合同的过程中，所有经甲乙盖公章的文件（包括会议纪要、补充协议、合同补充协议等）均为本合同的有效组成部分，与本合同具有同样法律效力。</w:t>
      </w:r>
    </w:p>
    <w:p>
      <w:pPr>
        <w:numPr>
          <w:ilvl w:val="0"/>
          <w:numId w:val="22"/>
        </w:numPr>
        <w:tabs>
          <w:tab w:val="left" w:pos="567"/>
          <w:tab w:val="left" w:pos="1276"/>
        </w:tabs>
        <w:spacing w:line="360" w:lineRule="auto"/>
        <w:ind w:left="2" w:firstLine="565"/>
        <w:rPr>
          <w:rFonts w:eastAsia="宋体"/>
          <w:lang w:eastAsia="zh-CN"/>
        </w:rPr>
      </w:pPr>
      <w:r>
        <w:rPr>
          <w:rFonts w:eastAsia="宋体"/>
          <w:lang w:eastAsia="zh-CN"/>
        </w:rPr>
        <w:t>除甲方事先以书面形式同意同意外，乙方不得部分或全部转让其应履行的合同项下的义务。</w:t>
      </w:r>
    </w:p>
    <w:p>
      <w:pPr>
        <w:numPr>
          <w:ilvl w:val="0"/>
          <w:numId w:val="22"/>
        </w:numPr>
        <w:tabs>
          <w:tab w:val="left" w:pos="567"/>
          <w:tab w:val="left" w:pos="1276"/>
        </w:tabs>
        <w:spacing w:line="360" w:lineRule="auto"/>
        <w:ind w:left="2" w:firstLine="565"/>
        <w:rPr>
          <w:rFonts w:eastAsia="宋体"/>
          <w:lang w:eastAsia="zh-CN"/>
        </w:rPr>
      </w:pPr>
      <w:r>
        <w:rPr>
          <w:rFonts w:eastAsia="宋体"/>
          <w:lang w:eastAsia="zh-CN"/>
        </w:rPr>
        <w:t>本合同正本一式</w:t>
      </w:r>
      <w:r>
        <w:rPr>
          <w:rFonts w:hint="eastAsia"/>
          <w:u w:val="single"/>
          <w:lang w:val="en-US" w:eastAsia="zh-CN"/>
        </w:rPr>
        <w:t>陆</w:t>
      </w:r>
      <w:r>
        <w:rPr>
          <w:rFonts w:eastAsia="宋体"/>
          <w:lang w:eastAsia="zh-CN"/>
        </w:rPr>
        <w:t>份，双方各执</w:t>
      </w:r>
      <w:r>
        <w:rPr>
          <w:rFonts w:hint="eastAsia"/>
          <w:u w:val="single"/>
          <w:lang w:val="en-US" w:eastAsia="zh-CN"/>
        </w:rPr>
        <w:t>叁</w:t>
      </w:r>
      <w:r>
        <w:rPr>
          <w:rFonts w:eastAsia="宋体"/>
          <w:lang w:eastAsia="zh-CN"/>
        </w:rPr>
        <w:t>份，具有同等法律效力。</w:t>
      </w:r>
    </w:p>
    <w:p>
      <w:pPr>
        <w:tabs>
          <w:tab w:val="left" w:pos="567"/>
          <w:tab w:val="left" w:pos="1276"/>
        </w:tabs>
        <w:spacing w:line="360" w:lineRule="auto"/>
        <w:ind w:left="566"/>
        <w:rPr>
          <w:rFonts w:eastAsia="宋体"/>
          <w:lang w:eastAsia="zh-CN"/>
        </w:rPr>
      </w:pPr>
    </w:p>
    <w:tbl>
      <w:tblPr>
        <w:tblStyle w:val="16"/>
        <w:tblW w:w="0" w:type="auto"/>
        <w:jc w:val="center"/>
        <w:tblCellSpacing w:w="7" w:type="dxa"/>
        <w:tblLayout w:type="autofit"/>
        <w:tblCellMar>
          <w:top w:w="15" w:type="dxa"/>
          <w:left w:w="15" w:type="dxa"/>
          <w:bottom w:w="15" w:type="dxa"/>
          <w:right w:w="15" w:type="dxa"/>
        </w:tblCellMar>
      </w:tblPr>
      <w:tblGrid>
        <w:gridCol w:w="1716"/>
        <w:gridCol w:w="567"/>
        <w:gridCol w:w="1985"/>
        <w:gridCol w:w="1843"/>
        <w:gridCol w:w="425"/>
        <w:gridCol w:w="1739"/>
      </w:tblGrid>
      <w:tr>
        <w:tblPrEx>
          <w:tblCellMar>
            <w:top w:w="15" w:type="dxa"/>
            <w:left w:w="15" w:type="dxa"/>
            <w:bottom w:w="15" w:type="dxa"/>
            <w:right w:w="15" w:type="dxa"/>
          </w:tblCellMar>
        </w:tblPrEx>
        <w:trPr>
          <w:tblCellSpacing w:w="7" w:type="dxa"/>
          <w:jc w:val="center"/>
        </w:trPr>
        <w:tc>
          <w:tcPr>
            <w:tcW w:w="1695" w:type="dxa"/>
            <w:noWrap w:val="0"/>
            <w:vAlign w:val="top"/>
          </w:tcPr>
          <w:p>
            <w:pPr>
              <w:spacing w:line="360" w:lineRule="auto"/>
              <w:rPr>
                <w:rFonts w:eastAsia="宋体"/>
              </w:rPr>
            </w:pPr>
            <w:r>
              <w:rPr>
                <w:rFonts w:eastAsia="宋体"/>
                <w:lang w:eastAsia="zh-CN"/>
              </w:rPr>
              <w:t>买方（甲方）</w:t>
            </w:r>
          </w:p>
        </w:tc>
        <w:tc>
          <w:tcPr>
            <w:tcW w:w="2538" w:type="dxa"/>
            <w:gridSpan w:val="2"/>
            <w:noWrap w:val="0"/>
            <w:vAlign w:val="top"/>
          </w:tcPr>
          <w:p>
            <w:pPr>
              <w:spacing w:line="360" w:lineRule="auto"/>
              <w:ind w:firstLine="420" w:firstLineChars="200"/>
              <w:rPr>
                <w:rFonts w:eastAsia="宋体"/>
              </w:rPr>
            </w:pPr>
          </w:p>
        </w:tc>
        <w:tc>
          <w:tcPr>
            <w:tcW w:w="1829" w:type="dxa"/>
            <w:noWrap w:val="0"/>
            <w:vAlign w:val="top"/>
          </w:tcPr>
          <w:p>
            <w:pPr>
              <w:spacing w:line="360" w:lineRule="auto"/>
              <w:rPr>
                <w:rFonts w:eastAsia="宋体"/>
              </w:rPr>
            </w:pPr>
            <w:r>
              <w:rPr>
                <w:rFonts w:eastAsia="宋体"/>
                <w:lang w:eastAsia="zh-CN"/>
              </w:rPr>
              <w:t>卖方（乙方）</w:t>
            </w:r>
          </w:p>
        </w:tc>
        <w:tc>
          <w:tcPr>
            <w:tcW w:w="2143" w:type="dxa"/>
            <w:gridSpan w:val="2"/>
            <w:noWrap w:val="0"/>
            <w:vAlign w:val="top"/>
          </w:tcPr>
          <w:p>
            <w:pPr>
              <w:spacing w:line="360" w:lineRule="auto"/>
              <w:ind w:firstLine="420" w:firstLineChars="200"/>
              <w:rPr>
                <w:rFonts w:eastAsia="宋体"/>
              </w:rPr>
            </w:pPr>
          </w:p>
        </w:tc>
      </w:tr>
      <w:tr>
        <w:tblPrEx>
          <w:tblCellMar>
            <w:top w:w="15" w:type="dxa"/>
            <w:left w:w="15" w:type="dxa"/>
            <w:bottom w:w="15" w:type="dxa"/>
            <w:right w:w="15" w:type="dxa"/>
          </w:tblCellMar>
        </w:tblPrEx>
        <w:trPr>
          <w:tblCellSpacing w:w="7" w:type="dxa"/>
          <w:jc w:val="center"/>
        </w:trPr>
        <w:tc>
          <w:tcPr>
            <w:tcW w:w="1695" w:type="dxa"/>
            <w:noWrap w:val="0"/>
            <w:vAlign w:val="top"/>
          </w:tcPr>
          <w:p>
            <w:pPr>
              <w:spacing w:line="360" w:lineRule="auto"/>
              <w:rPr>
                <w:rFonts w:eastAsia="宋体"/>
              </w:rPr>
            </w:pPr>
            <w:r>
              <w:rPr>
                <w:rFonts w:eastAsia="宋体"/>
              </w:rPr>
              <w:t>地　址：</w:t>
            </w:r>
          </w:p>
        </w:tc>
        <w:tc>
          <w:tcPr>
            <w:tcW w:w="2538" w:type="dxa"/>
            <w:gridSpan w:val="2"/>
            <w:noWrap w:val="0"/>
            <w:vAlign w:val="top"/>
          </w:tcPr>
          <w:p>
            <w:pPr>
              <w:spacing w:line="360" w:lineRule="auto"/>
              <w:ind w:firstLine="420" w:firstLineChars="200"/>
              <w:rPr>
                <w:rFonts w:eastAsia="宋体"/>
              </w:rPr>
            </w:pPr>
          </w:p>
        </w:tc>
        <w:tc>
          <w:tcPr>
            <w:tcW w:w="1829" w:type="dxa"/>
            <w:noWrap w:val="0"/>
            <w:vAlign w:val="top"/>
          </w:tcPr>
          <w:p>
            <w:pPr>
              <w:spacing w:line="360" w:lineRule="auto"/>
              <w:rPr>
                <w:rFonts w:eastAsia="宋体"/>
              </w:rPr>
            </w:pPr>
            <w:r>
              <w:rPr>
                <w:rFonts w:eastAsia="宋体"/>
              </w:rPr>
              <w:t>地　 址：</w:t>
            </w:r>
          </w:p>
        </w:tc>
        <w:tc>
          <w:tcPr>
            <w:tcW w:w="2143" w:type="dxa"/>
            <w:gridSpan w:val="2"/>
            <w:noWrap w:val="0"/>
            <w:vAlign w:val="top"/>
          </w:tcPr>
          <w:p>
            <w:pPr>
              <w:spacing w:line="360" w:lineRule="auto"/>
              <w:ind w:firstLine="420" w:firstLineChars="200"/>
              <w:rPr>
                <w:rFonts w:eastAsia="宋体"/>
              </w:rPr>
            </w:pPr>
            <w:r>
              <w:rPr>
                <w:rFonts w:eastAsia="宋体"/>
              </w:rPr>
              <w:t>　</w:t>
            </w:r>
          </w:p>
        </w:tc>
      </w:tr>
      <w:tr>
        <w:tblPrEx>
          <w:tblCellMar>
            <w:top w:w="15" w:type="dxa"/>
            <w:left w:w="15" w:type="dxa"/>
            <w:bottom w:w="15" w:type="dxa"/>
            <w:right w:w="15" w:type="dxa"/>
          </w:tblCellMar>
        </w:tblPrEx>
        <w:trPr>
          <w:tblCellSpacing w:w="7" w:type="dxa"/>
          <w:jc w:val="center"/>
        </w:trPr>
        <w:tc>
          <w:tcPr>
            <w:tcW w:w="4247" w:type="dxa"/>
            <w:gridSpan w:val="3"/>
            <w:noWrap w:val="0"/>
            <w:vAlign w:val="top"/>
          </w:tcPr>
          <w:p>
            <w:pPr>
              <w:spacing w:after="100" w:afterAutospacing="1" w:line="360" w:lineRule="auto"/>
              <w:rPr>
                <w:rFonts w:eastAsia="宋体"/>
                <w:lang w:eastAsia="zh-CN"/>
              </w:rPr>
            </w:pPr>
            <w:r>
              <w:rPr>
                <w:rFonts w:eastAsia="宋体"/>
                <w:lang w:eastAsia="zh-CN"/>
              </w:rPr>
              <w:t>法定代表人：</w:t>
            </w:r>
          </w:p>
        </w:tc>
        <w:tc>
          <w:tcPr>
            <w:tcW w:w="3986" w:type="dxa"/>
            <w:gridSpan w:val="3"/>
            <w:noWrap w:val="0"/>
            <w:vAlign w:val="top"/>
          </w:tcPr>
          <w:p>
            <w:pPr>
              <w:spacing w:after="100" w:afterAutospacing="1" w:line="360" w:lineRule="auto"/>
              <w:rPr>
                <w:rFonts w:eastAsia="宋体"/>
                <w:lang w:eastAsia="zh-CN"/>
              </w:rPr>
            </w:pPr>
            <w:r>
              <w:rPr>
                <w:rFonts w:eastAsia="宋体"/>
                <w:lang w:eastAsia="zh-CN"/>
              </w:rPr>
              <w:t>法定代表人</w:t>
            </w:r>
          </w:p>
        </w:tc>
      </w:tr>
      <w:tr>
        <w:tblPrEx>
          <w:tblCellMar>
            <w:top w:w="15" w:type="dxa"/>
            <w:left w:w="15" w:type="dxa"/>
            <w:bottom w:w="15" w:type="dxa"/>
            <w:right w:w="15" w:type="dxa"/>
          </w:tblCellMar>
        </w:tblPrEx>
        <w:trPr>
          <w:tblCellSpacing w:w="7" w:type="dxa"/>
          <w:jc w:val="center"/>
        </w:trPr>
        <w:tc>
          <w:tcPr>
            <w:tcW w:w="1695" w:type="dxa"/>
            <w:noWrap w:val="0"/>
            <w:vAlign w:val="top"/>
          </w:tcPr>
          <w:p>
            <w:pPr>
              <w:spacing w:line="360" w:lineRule="auto"/>
              <w:rPr>
                <w:rFonts w:eastAsia="宋体"/>
              </w:rPr>
            </w:pPr>
            <w:r>
              <w:rPr>
                <w:rFonts w:eastAsia="宋体"/>
              </w:rPr>
              <w:t>联系人：</w:t>
            </w:r>
          </w:p>
        </w:tc>
        <w:tc>
          <w:tcPr>
            <w:tcW w:w="2538" w:type="dxa"/>
            <w:gridSpan w:val="2"/>
            <w:noWrap w:val="0"/>
            <w:vAlign w:val="top"/>
          </w:tcPr>
          <w:p>
            <w:pPr>
              <w:spacing w:line="360" w:lineRule="auto"/>
              <w:ind w:firstLine="420" w:firstLineChars="200"/>
              <w:rPr>
                <w:rFonts w:eastAsia="宋体"/>
              </w:rPr>
            </w:pPr>
            <w:r>
              <w:rPr>
                <w:rFonts w:eastAsia="宋体"/>
              </w:rPr>
              <w:t>　</w:t>
            </w:r>
          </w:p>
        </w:tc>
        <w:tc>
          <w:tcPr>
            <w:tcW w:w="1829" w:type="dxa"/>
            <w:noWrap w:val="0"/>
            <w:vAlign w:val="top"/>
          </w:tcPr>
          <w:p>
            <w:pPr>
              <w:spacing w:line="360" w:lineRule="auto"/>
              <w:rPr>
                <w:rFonts w:eastAsia="宋体"/>
              </w:rPr>
            </w:pPr>
            <w:r>
              <w:rPr>
                <w:rFonts w:eastAsia="宋体"/>
              </w:rPr>
              <w:t>联系人：</w:t>
            </w:r>
          </w:p>
        </w:tc>
        <w:tc>
          <w:tcPr>
            <w:tcW w:w="2143" w:type="dxa"/>
            <w:gridSpan w:val="2"/>
            <w:noWrap w:val="0"/>
            <w:vAlign w:val="top"/>
          </w:tcPr>
          <w:p>
            <w:pPr>
              <w:spacing w:line="360" w:lineRule="auto"/>
              <w:ind w:firstLine="420" w:firstLineChars="200"/>
              <w:rPr>
                <w:rFonts w:eastAsia="宋体"/>
              </w:rPr>
            </w:pPr>
            <w:r>
              <w:rPr>
                <w:rFonts w:eastAsia="宋体"/>
              </w:rPr>
              <w:t>　</w:t>
            </w:r>
          </w:p>
        </w:tc>
      </w:tr>
      <w:tr>
        <w:tblPrEx>
          <w:tblCellMar>
            <w:top w:w="15" w:type="dxa"/>
            <w:left w:w="15" w:type="dxa"/>
            <w:bottom w:w="15" w:type="dxa"/>
            <w:right w:w="15" w:type="dxa"/>
          </w:tblCellMar>
        </w:tblPrEx>
        <w:trPr>
          <w:tblCellSpacing w:w="7" w:type="dxa"/>
          <w:jc w:val="center"/>
        </w:trPr>
        <w:tc>
          <w:tcPr>
            <w:tcW w:w="1695" w:type="dxa"/>
            <w:noWrap w:val="0"/>
            <w:vAlign w:val="top"/>
          </w:tcPr>
          <w:p>
            <w:pPr>
              <w:spacing w:line="360" w:lineRule="auto"/>
              <w:rPr>
                <w:rFonts w:eastAsia="宋体"/>
              </w:rPr>
            </w:pPr>
            <w:r>
              <w:rPr>
                <w:rFonts w:eastAsia="宋体"/>
              </w:rPr>
              <w:t>电　话：</w:t>
            </w:r>
          </w:p>
        </w:tc>
        <w:tc>
          <w:tcPr>
            <w:tcW w:w="2538" w:type="dxa"/>
            <w:gridSpan w:val="2"/>
            <w:noWrap w:val="0"/>
            <w:vAlign w:val="top"/>
          </w:tcPr>
          <w:p>
            <w:pPr>
              <w:spacing w:line="360" w:lineRule="auto"/>
              <w:ind w:firstLine="420" w:firstLineChars="200"/>
              <w:rPr>
                <w:rFonts w:eastAsia="宋体"/>
              </w:rPr>
            </w:pPr>
            <w:r>
              <w:rPr>
                <w:rFonts w:eastAsia="宋体"/>
              </w:rPr>
              <w:t>　</w:t>
            </w:r>
          </w:p>
        </w:tc>
        <w:tc>
          <w:tcPr>
            <w:tcW w:w="1829" w:type="dxa"/>
            <w:noWrap w:val="0"/>
            <w:vAlign w:val="top"/>
          </w:tcPr>
          <w:p>
            <w:pPr>
              <w:spacing w:line="360" w:lineRule="auto"/>
              <w:rPr>
                <w:rFonts w:eastAsia="宋体"/>
              </w:rPr>
            </w:pPr>
            <w:r>
              <w:rPr>
                <w:rFonts w:eastAsia="宋体"/>
              </w:rPr>
              <w:t>电　话：</w:t>
            </w:r>
          </w:p>
        </w:tc>
        <w:tc>
          <w:tcPr>
            <w:tcW w:w="2143" w:type="dxa"/>
            <w:gridSpan w:val="2"/>
            <w:noWrap w:val="0"/>
            <w:vAlign w:val="top"/>
          </w:tcPr>
          <w:p>
            <w:pPr>
              <w:spacing w:line="360" w:lineRule="auto"/>
              <w:ind w:firstLine="420" w:firstLineChars="200"/>
              <w:rPr>
                <w:rFonts w:eastAsia="宋体"/>
              </w:rPr>
            </w:pPr>
            <w:r>
              <w:rPr>
                <w:rFonts w:eastAsia="宋体"/>
              </w:rPr>
              <w:t>　</w:t>
            </w:r>
          </w:p>
        </w:tc>
      </w:tr>
      <w:tr>
        <w:tblPrEx>
          <w:tblCellMar>
            <w:top w:w="15" w:type="dxa"/>
            <w:left w:w="15" w:type="dxa"/>
            <w:bottom w:w="15" w:type="dxa"/>
            <w:right w:w="15" w:type="dxa"/>
          </w:tblCellMar>
        </w:tblPrEx>
        <w:trPr>
          <w:tblCellSpacing w:w="7" w:type="dxa"/>
          <w:jc w:val="center"/>
        </w:trPr>
        <w:tc>
          <w:tcPr>
            <w:tcW w:w="4247" w:type="dxa"/>
            <w:gridSpan w:val="3"/>
            <w:noWrap w:val="0"/>
            <w:vAlign w:val="top"/>
          </w:tcPr>
          <w:p>
            <w:pPr>
              <w:spacing w:line="360" w:lineRule="auto"/>
              <w:rPr>
                <w:rFonts w:eastAsia="宋体"/>
              </w:rPr>
            </w:pPr>
            <w:r>
              <w:rPr>
                <w:rFonts w:eastAsia="宋体"/>
              </w:rPr>
              <w:t>开户银行：</w:t>
            </w:r>
          </w:p>
        </w:tc>
        <w:tc>
          <w:tcPr>
            <w:tcW w:w="3986" w:type="dxa"/>
            <w:gridSpan w:val="3"/>
            <w:noWrap w:val="0"/>
            <w:vAlign w:val="top"/>
          </w:tcPr>
          <w:p>
            <w:pPr>
              <w:spacing w:line="360" w:lineRule="auto"/>
              <w:rPr>
                <w:rFonts w:eastAsia="宋体"/>
              </w:rPr>
            </w:pPr>
            <w:r>
              <w:rPr>
                <w:rFonts w:eastAsia="宋体"/>
              </w:rPr>
              <w:t xml:space="preserve">开户银行： </w:t>
            </w:r>
          </w:p>
        </w:tc>
      </w:tr>
      <w:tr>
        <w:tblPrEx>
          <w:tblCellMar>
            <w:top w:w="15" w:type="dxa"/>
            <w:left w:w="15" w:type="dxa"/>
            <w:bottom w:w="15" w:type="dxa"/>
            <w:right w:w="15" w:type="dxa"/>
          </w:tblCellMar>
        </w:tblPrEx>
        <w:trPr>
          <w:tblCellSpacing w:w="7" w:type="dxa"/>
          <w:jc w:val="center"/>
        </w:trPr>
        <w:tc>
          <w:tcPr>
            <w:tcW w:w="1695" w:type="dxa"/>
            <w:noWrap w:val="0"/>
            <w:vAlign w:val="top"/>
          </w:tcPr>
          <w:p>
            <w:pPr>
              <w:spacing w:line="360" w:lineRule="auto"/>
              <w:rPr>
                <w:rFonts w:eastAsia="宋体"/>
              </w:rPr>
            </w:pPr>
            <w:r>
              <w:rPr>
                <w:rFonts w:eastAsia="宋体"/>
              </w:rPr>
              <w:t>账　号：</w:t>
            </w:r>
          </w:p>
        </w:tc>
        <w:tc>
          <w:tcPr>
            <w:tcW w:w="2538" w:type="dxa"/>
            <w:gridSpan w:val="2"/>
            <w:noWrap w:val="0"/>
            <w:vAlign w:val="top"/>
          </w:tcPr>
          <w:p>
            <w:pPr>
              <w:spacing w:line="360" w:lineRule="auto"/>
              <w:ind w:firstLine="420" w:firstLineChars="200"/>
              <w:rPr>
                <w:rFonts w:eastAsia="宋体"/>
              </w:rPr>
            </w:pPr>
            <w:r>
              <w:rPr>
                <w:rFonts w:eastAsia="宋体"/>
              </w:rPr>
              <w:t>　</w:t>
            </w:r>
          </w:p>
        </w:tc>
        <w:tc>
          <w:tcPr>
            <w:tcW w:w="1829" w:type="dxa"/>
            <w:noWrap w:val="0"/>
            <w:vAlign w:val="top"/>
          </w:tcPr>
          <w:p>
            <w:pPr>
              <w:spacing w:line="360" w:lineRule="auto"/>
              <w:rPr>
                <w:rFonts w:eastAsia="宋体"/>
              </w:rPr>
            </w:pPr>
            <w:r>
              <w:rPr>
                <w:rFonts w:eastAsia="宋体"/>
              </w:rPr>
              <w:t>帐　号：</w:t>
            </w:r>
          </w:p>
        </w:tc>
        <w:tc>
          <w:tcPr>
            <w:tcW w:w="2143" w:type="dxa"/>
            <w:gridSpan w:val="2"/>
            <w:noWrap w:val="0"/>
            <w:vAlign w:val="top"/>
          </w:tcPr>
          <w:p>
            <w:pPr>
              <w:spacing w:line="360" w:lineRule="auto"/>
              <w:ind w:firstLine="420" w:firstLineChars="200"/>
              <w:rPr>
                <w:rFonts w:eastAsia="宋体"/>
              </w:rPr>
            </w:pPr>
            <w:r>
              <w:rPr>
                <w:rFonts w:eastAsia="宋体"/>
              </w:rPr>
              <w:t>　</w:t>
            </w:r>
          </w:p>
        </w:tc>
      </w:tr>
      <w:tr>
        <w:tblPrEx>
          <w:tblCellMar>
            <w:top w:w="15" w:type="dxa"/>
            <w:left w:w="15" w:type="dxa"/>
            <w:bottom w:w="15" w:type="dxa"/>
            <w:right w:w="15" w:type="dxa"/>
          </w:tblCellMar>
        </w:tblPrEx>
        <w:trPr>
          <w:tblCellSpacing w:w="7" w:type="dxa"/>
          <w:jc w:val="center"/>
        </w:trPr>
        <w:tc>
          <w:tcPr>
            <w:tcW w:w="2262" w:type="dxa"/>
            <w:gridSpan w:val="2"/>
            <w:noWrap w:val="0"/>
            <w:vAlign w:val="top"/>
          </w:tcPr>
          <w:p>
            <w:pPr>
              <w:spacing w:line="360" w:lineRule="auto"/>
              <w:rPr>
                <w:rFonts w:eastAsia="宋体"/>
              </w:rPr>
            </w:pPr>
            <w:r>
              <w:rPr>
                <w:rFonts w:eastAsia="宋体"/>
                <w:lang w:eastAsia="zh-CN"/>
              </w:rPr>
              <w:t>统一社会信用代码：</w:t>
            </w:r>
          </w:p>
        </w:tc>
        <w:tc>
          <w:tcPr>
            <w:tcW w:w="1971" w:type="dxa"/>
            <w:noWrap w:val="0"/>
            <w:vAlign w:val="top"/>
          </w:tcPr>
          <w:p>
            <w:pPr>
              <w:spacing w:line="360" w:lineRule="auto"/>
              <w:ind w:firstLine="420" w:firstLineChars="200"/>
              <w:rPr>
                <w:rFonts w:eastAsia="宋体"/>
              </w:rPr>
            </w:pPr>
            <w:r>
              <w:rPr>
                <w:rFonts w:eastAsia="宋体"/>
              </w:rPr>
              <w:t>　</w:t>
            </w:r>
          </w:p>
        </w:tc>
        <w:tc>
          <w:tcPr>
            <w:tcW w:w="2254" w:type="dxa"/>
            <w:gridSpan w:val="2"/>
            <w:noWrap w:val="0"/>
            <w:vAlign w:val="top"/>
          </w:tcPr>
          <w:p>
            <w:pPr>
              <w:spacing w:line="360" w:lineRule="auto"/>
              <w:rPr>
                <w:rFonts w:eastAsia="宋体"/>
              </w:rPr>
            </w:pPr>
            <w:r>
              <w:rPr>
                <w:rFonts w:eastAsia="宋体"/>
                <w:lang w:eastAsia="zh-CN"/>
              </w:rPr>
              <w:t>统一社会信用代码：</w:t>
            </w:r>
          </w:p>
        </w:tc>
        <w:tc>
          <w:tcPr>
            <w:tcW w:w="1718" w:type="dxa"/>
            <w:noWrap w:val="0"/>
            <w:vAlign w:val="top"/>
          </w:tcPr>
          <w:p>
            <w:pPr>
              <w:spacing w:line="360" w:lineRule="auto"/>
              <w:ind w:firstLine="420" w:firstLineChars="200"/>
              <w:rPr>
                <w:rFonts w:eastAsia="宋体"/>
              </w:rPr>
            </w:pPr>
            <w:r>
              <w:rPr>
                <w:rFonts w:eastAsia="宋体"/>
              </w:rPr>
              <w:t>　</w:t>
            </w:r>
          </w:p>
        </w:tc>
      </w:tr>
    </w:tbl>
    <w:p>
      <w:pPr>
        <w:spacing w:line="360" w:lineRule="auto"/>
        <w:ind w:firstLine="420" w:firstLineChars="200"/>
        <w:rPr>
          <w:rFonts w:eastAsia="宋体"/>
          <w:lang w:eastAsia="zh-CN"/>
        </w:rPr>
      </w:pPr>
    </w:p>
    <w:p>
      <w:pPr>
        <w:spacing w:line="360" w:lineRule="auto"/>
        <w:ind w:firstLine="420" w:firstLineChars="200"/>
        <w:jc w:val="center"/>
        <w:outlineLvl w:val="0"/>
        <w:rPr>
          <w:rFonts w:eastAsia="宋体"/>
          <w:lang w:eastAsia="zh-CN"/>
        </w:rPr>
      </w:pPr>
      <w:bookmarkStart w:id="115" w:name="_Toc30131"/>
      <w:r>
        <w:rPr>
          <w:rFonts w:eastAsia="宋体"/>
          <w:lang w:eastAsia="zh-CN"/>
        </w:rPr>
        <w:t>（以下无正文，为甲乙双方盖章处）</w:t>
      </w:r>
      <w:bookmarkEnd w:id="115"/>
    </w:p>
    <w:p>
      <w:pPr>
        <w:spacing w:line="360" w:lineRule="auto"/>
        <w:ind w:firstLine="420" w:firstLineChars="200"/>
        <w:jc w:val="center"/>
        <w:rPr>
          <w:rFonts w:eastAsia="宋体"/>
          <w:lang w:eastAsia="zh-CN"/>
        </w:rPr>
      </w:pPr>
    </w:p>
    <w:p>
      <w:pPr>
        <w:spacing w:line="360" w:lineRule="auto"/>
        <w:ind w:firstLine="420" w:firstLineChars="200"/>
        <w:rPr>
          <w:rFonts w:eastAsia="宋体"/>
          <w:lang w:eastAsia="zh-CN"/>
        </w:rPr>
      </w:pPr>
    </w:p>
    <w:p>
      <w:pPr>
        <w:spacing w:line="360" w:lineRule="auto"/>
        <w:ind w:firstLine="420" w:firstLineChars="200"/>
        <w:rPr>
          <w:rFonts w:eastAsia="宋体"/>
          <w:lang w:eastAsia="zh-CN"/>
        </w:rPr>
      </w:pPr>
      <w:r>
        <w:rPr>
          <w:rFonts w:eastAsia="宋体"/>
          <w:lang w:eastAsia="zh-CN"/>
        </w:rPr>
        <w:t>甲方：中武</w:t>
      </w:r>
      <w:r>
        <w:rPr>
          <w:rFonts w:hint="eastAsia" w:eastAsia="宋体"/>
          <w:lang w:eastAsia="zh-CN"/>
        </w:rPr>
        <w:t>（</w:t>
      </w:r>
      <w:r>
        <w:rPr>
          <w:rFonts w:eastAsia="宋体"/>
          <w:lang w:eastAsia="zh-CN"/>
        </w:rPr>
        <w:t>福建</w:t>
      </w:r>
      <w:r>
        <w:rPr>
          <w:rFonts w:hint="eastAsia" w:eastAsia="宋体"/>
          <w:lang w:eastAsia="zh-CN"/>
        </w:rPr>
        <w:t>）</w:t>
      </w:r>
      <w:r>
        <w:rPr>
          <w:rFonts w:eastAsia="宋体"/>
          <w:lang w:eastAsia="zh-CN"/>
        </w:rPr>
        <w:t>跨境电子商务有限责任公司（盖章）</w:t>
      </w:r>
    </w:p>
    <w:p>
      <w:pPr>
        <w:spacing w:line="360" w:lineRule="auto"/>
        <w:ind w:firstLine="420" w:firstLineChars="200"/>
        <w:rPr>
          <w:rFonts w:eastAsia="宋体"/>
          <w:lang w:eastAsia="zh-CN"/>
        </w:rPr>
      </w:pPr>
      <w:r>
        <w:rPr>
          <w:rFonts w:eastAsia="宋体"/>
          <w:lang w:eastAsia="zh-CN"/>
        </w:rPr>
        <w:t>签署日期：</w:t>
      </w:r>
    </w:p>
    <w:p>
      <w:pPr>
        <w:spacing w:line="360" w:lineRule="auto"/>
        <w:ind w:firstLine="420" w:firstLineChars="200"/>
        <w:rPr>
          <w:rFonts w:eastAsia="宋体"/>
          <w:lang w:eastAsia="zh-CN"/>
        </w:rPr>
      </w:pPr>
    </w:p>
    <w:p>
      <w:pPr>
        <w:spacing w:line="360" w:lineRule="auto"/>
        <w:ind w:firstLine="420" w:firstLineChars="200"/>
        <w:rPr>
          <w:rFonts w:eastAsia="宋体"/>
          <w:lang w:eastAsia="zh-CN"/>
        </w:rPr>
      </w:pPr>
    </w:p>
    <w:p>
      <w:pPr>
        <w:spacing w:line="360" w:lineRule="auto"/>
        <w:ind w:firstLine="420" w:firstLineChars="200"/>
        <w:rPr>
          <w:rFonts w:eastAsia="宋体"/>
          <w:lang w:eastAsia="zh-CN"/>
        </w:rPr>
      </w:pPr>
      <w:r>
        <w:rPr>
          <w:rFonts w:eastAsia="宋体"/>
          <w:lang w:eastAsia="zh-CN"/>
        </w:rPr>
        <w:t>乙方：                                    （盖章）</w:t>
      </w:r>
    </w:p>
    <w:p>
      <w:pPr>
        <w:spacing w:line="360" w:lineRule="auto"/>
        <w:ind w:firstLine="420" w:firstLineChars="200"/>
        <w:rPr>
          <w:rFonts w:hint="default"/>
          <w:lang w:val="en-US"/>
        </w:rPr>
        <w:sectPr>
          <w:footerReference r:id="rId7" w:type="first"/>
          <w:footerReference r:id="rId6" w:type="default"/>
          <w:pgSz w:w="12240" w:h="15840"/>
          <w:pgMar w:top="1440" w:right="1800" w:bottom="1182" w:left="1800" w:header="708" w:footer="708" w:gutter="0"/>
          <w:pgBorders>
            <w:top w:val="none" w:sz="0" w:space="0"/>
            <w:left w:val="none" w:sz="0" w:space="0"/>
            <w:bottom w:val="none" w:sz="0" w:space="0"/>
            <w:right w:val="none" w:sz="0" w:space="0"/>
          </w:pgBorders>
          <w:pgNumType w:fmt="decimal" w:start="1"/>
          <w:cols w:space="720" w:num="1"/>
          <w:titlePg/>
          <w:docGrid w:linePitch="360" w:charSpace="0"/>
        </w:sectPr>
      </w:pPr>
      <w:r>
        <w:rPr>
          <w:rFonts w:eastAsia="宋体"/>
          <w:lang w:eastAsia="zh-CN"/>
        </w:rPr>
        <w:t>签署</w:t>
      </w:r>
      <w:r>
        <w:rPr>
          <w:rFonts w:hint="eastAsia" w:eastAsia="宋体"/>
          <w:lang w:val="en-US" w:eastAsia="zh-CN"/>
        </w:rPr>
        <w:t>日期：</w:t>
      </w:r>
    </w:p>
    <w:p>
      <w:pPr>
        <w:spacing w:line="360" w:lineRule="auto"/>
        <w:rPr>
          <w:b/>
          <w:sz w:val="36"/>
          <w:szCs w:val="36"/>
        </w:rPr>
      </w:pPr>
    </w:p>
    <w:p>
      <w:pPr>
        <w:pStyle w:val="4"/>
        <w:keepNext/>
        <w:keepLines/>
        <w:pageBreakBefore w:val="0"/>
        <w:widowControl w:val="0"/>
        <w:kinsoku/>
        <w:wordWrap/>
        <w:overflowPunct/>
        <w:topLinePunct w:val="0"/>
        <w:autoSpaceDE/>
        <w:autoSpaceDN/>
        <w:bidi w:val="0"/>
        <w:adjustRightInd/>
        <w:snapToGrid/>
        <w:spacing w:line="240" w:lineRule="auto"/>
        <w:jc w:val="center"/>
        <w:textAlignment w:val="auto"/>
        <w:rPr>
          <w:b/>
          <w:bCs/>
          <w:sz w:val="36"/>
          <w:szCs w:val="36"/>
        </w:rPr>
      </w:pPr>
      <w:bookmarkStart w:id="116" w:name="_Toc14797"/>
      <w:r>
        <w:rPr>
          <w:rFonts w:hint="eastAsia" w:asciiTheme="minorEastAsia" w:hAnsiTheme="minorEastAsia"/>
          <w:b/>
          <w:bCs/>
          <w:sz w:val="28"/>
          <w:szCs w:val="36"/>
        </w:rPr>
        <w:t>第五章</w:t>
      </w:r>
      <w:r>
        <w:rPr>
          <w:rFonts w:hint="eastAsia" w:asciiTheme="minorEastAsia" w:hAnsiTheme="minorEastAsia"/>
          <w:b/>
          <w:bCs/>
          <w:sz w:val="28"/>
          <w:szCs w:val="36"/>
          <w:lang w:val="en-US" w:eastAsia="zh-CN"/>
        </w:rPr>
        <w:t xml:space="preserve">   </w:t>
      </w:r>
      <w:r>
        <w:rPr>
          <w:rFonts w:hint="eastAsia" w:asciiTheme="minorEastAsia" w:hAnsiTheme="minorEastAsia"/>
          <w:b/>
          <w:bCs/>
          <w:sz w:val="28"/>
          <w:szCs w:val="36"/>
        </w:rPr>
        <w:t>投标文件格式及附件</w:t>
      </w:r>
      <w:bookmarkEnd w:id="116"/>
    </w:p>
    <w:p>
      <w:pPr>
        <w:spacing w:line="360" w:lineRule="auto"/>
        <w:ind w:firstLine="420" w:firstLineChars="200"/>
        <w:outlineLvl w:val="0"/>
      </w:pPr>
      <w:bookmarkStart w:id="117" w:name="_Toc2432"/>
      <w:r>
        <w:rPr>
          <w:rFonts w:hint="eastAsia" w:asciiTheme="minorEastAsia" w:hAnsiTheme="minorEastAsia"/>
          <w:szCs w:val="21"/>
        </w:rPr>
        <w:t>附件一 投标保证书</w:t>
      </w:r>
      <w:bookmarkEnd w:id="117"/>
    </w:p>
    <w:p>
      <w:pPr>
        <w:spacing w:line="360" w:lineRule="auto"/>
        <w:ind w:firstLine="420" w:firstLineChars="200"/>
        <w:outlineLvl w:val="0"/>
      </w:pPr>
      <w:bookmarkStart w:id="118" w:name="_Toc20052"/>
      <w:r>
        <w:rPr>
          <w:rFonts w:hint="eastAsia" w:asciiTheme="minorEastAsia" w:hAnsiTheme="minorEastAsia"/>
          <w:szCs w:val="21"/>
        </w:rPr>
        <w:t>附件二 法定代表人授权委托书</w:t>
      </w:r>
      <w:bookmarkEnd w:id="118"/>
    </w:p>
    <w:p>
      <w:pPr>
        <w:spacing w:line="360" w:lineRule="auto"/>
        <w:ind w:firstLine="420" w:firstLineChars="200"/>
        <w:outlineLvl w:val="0"/>
      </w:pPr>
      <w:bookmarkStart w:id="119" w:name="_Toc3138"/>
      <w:r>
        <w:rPr>
          <w:rFonts w:hint="eastAsia" w:asciiTheme="minorEastAsia" w:hAnsiTheme="minorEastAsia"/>
          <w:szCs w:val="21"/>
        </w:rPr>
        <w:t>附件三 投标项目及报价表</w:t>
      </w:r>
      <w:bookmarkEnd w:id="119"/>
    </w:p>
    <w:p>
      <w:pPr>
        <w:spacing w:line="360" w:lineRule="auto"/>
        <w:ind w:firstLine="420" w:firstLineChars="200"/>
        <w:outlineLvl w:val="0"/>
      </w:pPr>
      <w:bookmarkStart w:id="120" w:name="_Toc29864"/>
      <w:r>
        <w:rPr>
          <w:rFonts w:hint="eastAsia" w:asciiTheme="minorEastAsia" w:hAnsiTheme="minorEastAsia"/>
          <w:szCs w:val="21"/>
        </w:rPr>
        <w:t>附件四 关于资格的声明函</w:t>
      </w:r>
      <w:bookmarkEnd w:id="120"/>
    </w:p>
    <w:p>
      <w:pPr>
        <w:spacing w:line="360" w:lineRule="auto"/>
        <w:ind w:firstLine="420" w:firstLineChars="200"/>
        <w:outlineLvl w:val="0"/>
      </w:pPr>
      <w:bookmarkStart w:id="121" w:name="_Toc16025"/>
      <w:r>
        <w:rPr>
          <w:rFonts w:hint="eastAsia" w:asciiTheme="minorEastAsia" w:hAnsiTheme="minorEastAsia"/>
          <w:szCs w:val="21"/>
        </w:rPr>
        <w:t>附件五 投标方已完成同类型工程情况</w:t>
      </w:r>
      <w:bookmarkEnd w:id="121"/>
    </w:p>
    <w:p>
      <w:pPr>
        <w:spacing w:line="360" w:lineRule="auto"/>
        <w:ind w:firstLine="420" w:firstLineChars="200"/>
        <w:outlineLvl w:val="0"/>
        <w:rPr>
          <w:rFonts w:hint="eastAsia" w:asciiTheme="minorEastAsia" w:hAnsiTheme="minorEastAsia"/>
          <w:szCs w:val="21"/>
        </w:rPr>
      </w:pPr>
      <w:bookmarkStart w:id="122" w:name="_Toc23113"/>
      <w:r>
        <w:rPr>
          <w:rFonts w:hint="eastAsia" w:asciiTheme="minorEastAsia" w:hAnsiTheme="minorEastAsia"/>
          <w:szCs w:val="21"/>
        </w:rPr>
        <w:t>附件</w:t>
      </w:r>
      <w:r>
        <w:rPr>
          <w:rFonts w:hint="eastAsia" w:asciiTheme="minorEastAsia" w:hAnsiTheme="minorEastAsia"/>
          <w:szCs w:val="21"/>
          <w:lang w:val="en-US" w:eastAsia="zh-CN"/>
        </w:rPr>
        <w:t>六</w:t>
      </w:r>
      <w:r>
        <w:rPr>
          <w:rFonts w:hint="eastAsia" w:asciiTheme="minorEastAsia" w:hAnsiTheme="minorEastAsia"/>
          <w:szCs w:val="21"/>
        </w:rPr>
        <w:t xml:space="preserve"> 资格证明文件</w:t>
      </w:r>
      <w:bookmarkEnd w:id="122"/>
    </w:p>
    <w:p>
      <w:pPr>
        <w:spacing w:line="360" w:lineRule="auto"/>
        <w:ind w:firstLine="420" w:firstLineChars="200"/>
        <w:outlineLvl w:val="0"/>
        <w:rPr>
          <w:rFonts w:hint="default" w:eastAsiaTheme="minorEastAsia"/>
          <w:lang w:val="en-US" w:eastAsia="zh-CN"/>
        </w:rPr>
      </w:pPr>
      <w:bookmarkStart w:id="123" w:name="_Toc20959"/>
      <w:r>
        <w:rPr>
          <w:rFonts w:hint="eastAsia" w:asciiTheme="minorEastAsia" w:hAnsiTheme="minorEastAsia"/>
          <w:szCs w:val="21"/>
          <w:lang w:val="en-US" w:eastAsia="zh-CN"/>
        </w:rPr>
        <w:t>附件七 详细技术参数</w:t>
      </w:r>
      <w:bookmarkEnd w:id="123"/>
    </w:p>
    <w:p>
      <w:pPr>
        <w:tabs>
          <w:tab w:val="right" w:leader="hyphen" w:pos="8400"/>
        </w:tabs>
        <w:spacing w:line="360" w:lineRule="auto"/>
        <w:ind w:firstLine="420" w:firstLineChars="200"/>
      </w:pPr>
    </w:p>
    <w:p>
      <w:pPr>
        <w:widowControl/>
        <w:spacing w:line="360" w:lineRule="auto"/>
        <w:ind w:firstLine="420" w:firstLineChars="200"/>
      </w:pPr>
      <w:r>
        <w:br w:type="page"/>
      </w: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asciiTheme="minorEastAsia" w:hAnsiTheme="minorEastAsia"/>
          <w:b/>
          <w:sz w:val="32"/>
          <w:szCs w:val="32"/>
        </w:rPr>
      </w:pPr>
      <w:bookmarkStart w:id="124" w:name="_Toc9633"/>
      <w:r>
        <w:rPr>
          <w:rFonts w:hint="eastAsia"/>
          <w:b/>
          <w:sz w:val="32"/>
          <w:szCs w:val="32"/>
        </w:rPr>
        <w:t>附件一</w:t>
      </w:r>
      <w:r>
        <w:rPr>
          <w:rFonts w:hint="eastAsia"/>
          <w:b/>
          <w:sz w:val="32"/>
          <w:szCs w:val="32"/>
          <w:lang w:eastAsia="zh-CN"/>
        </w:rPr>
        <w:t>：</w:t>
      </w:r>
      <w:r>
        <w:rPr>
          <w:rFonts w:hint="eastAsia"/>
          <w:b/>
          <w:sz w:val="32"/>
          <w:szCs w:val="32"/>
        </w:rPr>
        <w:t>投标保证书</w:t>
      </w:r>
      <w:bookmarkEnd w:id="124"/>
    </w:p>
    <w:p>
      <w:pPr>
        <w:spacing w:line="360" w:lineRule="auto"/>
        <w:ind w:firstLine="442" w:firstLineChars="200"/>
        <w:rPr>
          <w:b/>
          <w:bCs/>
          <w:sz w:val="22"/>
          <w:szCs w:val="28"/>
        </w:rPr>
      </w:pPr>
      <w:r>
        <w:rPr>
          <w:rFonts w:hint="eastAsia"/>
          <w:b/>
          <w:bCs/>
          <w:sz w:val="22"/>
          <w:szCs w:val="28"/>
        </w:rPr>
        <w:t>投标保证书</w:t>
      </w:r>
    </w:p>
    <w:p>
      <w:pPr>
        <w:spacing w:line="360" w:lineRule="auto"/>
        <w:ind w:firstLine="420" w:firstLineChars="200"/>
        <w:rPr>
          <w:bCs/>
          <w:sz w:val="22"/>
          <w:szCs w:val="28"/>
        </w:rPr>
      </w:pPr>
      <w:r>
        <w:rPr>
          <w:rFonts w:hint="eastAsia" w:asciiTheme="minorEastAsia" w:hAnsiTheme="minorEastAsia"/>
          <w:szCs w:val="21"/>
        </w:rPr>
        <w:t>致：</w:t>
      </w:r>
    </w:p>
    <w:p>
      <w:pPr>
        <w:spacing w:line="360" w:lineRule="auto"/>
        <w:ind w:firstLine="420" w:firstLineChars="200"/>
        <w:rPr>
          <w:bCs/>
          <w:sz w:val="22"/>
          <w:szCs w:val="28"/>
        </w:rPr>
      </w:pPr>
      <w:r>
        <w:rPr>
          <w:rFonts w:hint="eastAsia" w:asciiTheme="minorEastAsia" w:hAnsiTheme="minorEastAsia"/>
          <w:szCs w:val="21"/>
        </w:rPr>
        <w:t>根据贵单位采购项目的招标公告（招标编号：__________</w:t>
      </w:r>
      <w:r>
        <w:rPr>
          <w:rFonts w:hint="eastAsia" w:asciiTheme="minorEastAsia" w:hAnsiTheme="minorEastAsia"/>
          <w:color w:val="000000"/>
          <w:szCs w:val="21"/>
        </w:rPr>
        <w:t>）</w:t>
      </w:r>
      <w:r>
        <w:rPr>
          <w:rFonts w:hint="eastAsia" w:asciiTheme="minorEastAsia" w:hAnsiTheme="minorEastAsia"/>
          <w:szCs w:val="21"/>
        </w:rPr>
        <w:t>，签字代表__________（全名、职务）经正式授权并代表投标方__________（投标方名称）提交下述投标文件正本一份和副本一份及电子文本一份。</w:t>
      </w:r>
    </w:p>
    <w:p>
      <w:pPr>
        <w:spacing w:line="360" w:lineRule="auto"/>
        <w:ind w:firstLine="440" w:firstLineChars="200"/>
        <w:rPr>
          <w:bCs/>
          <w:sz w:val="22"/>
          <w:szCs w:val="28"/>
        </w:rPr>
      </w:pPr>
      <w:r>
        <w:rPr>
          <w:rFonts w:hint="eastAsia"/>
          <w:bCs/>
          <w:sz w:val="22"/>
          <w:szCs w:val="28"/>
        </w:rPr>
        <w:t xml:space="preserve">(1) </w:t>
      </w:r>
      <w:r>
        <w:rPr>
          <w:rFonts w:hint="eastAsia" w:asciiTheme="minorEastAsia" w:hAnsiTheme="minorEastAsia"/>
          <w:szCs w:val="21"/>
        </w:rPr>
        <w:t>招标项目及报价一览表</w:t>
      </w:r>
    </w:p>
    <w:p>
      <w:pPr>
        <w:spacing w:line="360" w:lineRule="auto"/>
        <w:ind w:firstLine="440" w:firstLineChars="200"/>
      </w:pPr>
      <w:r>
        <w:rPr>
          <w:rFonts w:hint="eastAsia"/>
          <w:bCs/>
          <w:sz w:val="22"/>
          <w:szCs w:val="28"/>
        </w:rPr>
        <w:t xml:space="preserve">(2) </w:t>
      </w:r>
      <w:r>
        <w:rPr>
          <w:rFonts w:hint="eastAsia" w:asciiTheme="minorEastAsia" w:hAnsiTheme="minorEastAsia"/>
          <w:szCs w:val="21"/>
        </w:rPr>
        <w:t>关于资格的声明函</w:t>
      </w:r>
    </w:p>
    <w:p>
      <w:pPr>
        <w:spacing w:line="360" w:lineRule="auto"/>
        <w:ind w:firstLine="440" w:firstLineChars="200"/>
        <w:rPr>
          <w:bCs/>
          <w:sz w:val="22"/>
          <w:szCs w:val="28"/>
        </w:rPr>
      </w:pPr>
      <w:r>
        <w:rPr>
          <w:rFonts w:hint="eastAsia"/>
          <w:bCs/>
          <w:sz w:val="22"/>
          <w:szCs w:val="28"/>
        </w:rPr>
        <w:t>(3)</w:t>
      </w:r>
      <w:r>
        <w:rPr>
          <w:rFonts w:hint="eastAsia" w:asciiTheme="minorEastAsia" w:hAnsiTheme="minorEastAsia"/>
          <w:szCs w:val="21"/>
        </w:rPr>
        <w:t>投标代理人资格证明（法人代表授权书）</w:t>
      </w:r>
    </w:p>
    <w:p>
      <w:pPr>
        <w:spacing w:line="360" w:lineRule="auto"/>
        <w:ind w:firstLine="440" w:firstLineChars="200"/>
        <w:rPr>
          <w:bCs/>
          <w:sz w:val="22"/>
          <w:szCs w:val="28"/>
        </w:rPr>
      </w:pPr>
      <w:r>
        <w:rPr>
          <w:rFonts w:hint="eastAsia"/>
          <w:bCs/>
          <w:sz w:val="22"/>
          <w:szCs w:val="28"/>
        </w:rPr>
        <w:t xml:space="preserve">(4) </w:t>
      </w:r>
      <w:r>
        <w:rPr>
          <w:rFonts w:hint="eastAsia" w:asciiTheme="minorEastAsia" w:hAnsiTheme="minorEastAsia"/>
          <w:szCs w:val="21"/>
        </w:rPr>
        <w:t>售后服务计划</w:t>
      </w:r>
      <w:r>
        <w:rPr>
          <w:rFonts w:hint="eastAsia" w:asciiTheme="minorEastAsia" w:hAnsiTheme="minorEastAsia"/>
          <w:szCs w:val="21"/>
          <w:lang w:eastAsia="zh-CN"/>
        </w:rPr>
        <w:t>：</w:t>
      </w:r>
      <w:r>
        <w:rPr>
          <w:rFonts w:hint="eastAsia"/>
          <w:highlight w:val="none"/>
          <w:lang w:val="en-US" w:eastAsia="zh-CN"/>
        </w:rPr>
        <w:t>提供安装VR，投标人</w:t>
      </w:r>
      <w:r>
        <w:rPr>
          <w:rFonts w:hint="eastAsia"/>
          <w:highlight w:val="none"/>
          <w:lang w:eastAsia="zh-CN"/>
        </w:rPr>
        <w:t>负责</w:t>
      </w:r>
      <w:r>
        <w:rPr>
          <w:rFonts w:hint="eastAsia"/>
          <w:highlight w:val="none"/>
          <w:lang w:val="en-US" w:eastAsia="zh-CN"/>
        </w:rPr>
        <w:t>项目</w:t>
      </w:r>
      <w:r>
        <w:rPr>
          <w:rFonts w:hint="eastAsia"/>
          <w:highlight w:val="none"/>
          <w:lang w:eastAsia="zh-CN"/>
        </w:rPr>
        <w:t>现场安装技术指导，</w:t>
      </w:r>
      <w:r>
        <w:rPr>
          <w:rFonts w:hint="eastAsia"/>
          <w:highlight w:val="none"/>
          <w:lang w:val="en-US" w:eastAsia="zh-CN"/>
        </w:rPr>
        <w:t>菲律宾分公司</w:t>
      </w:r>
      <w:r>
        <w:rPr>
          <w:rFonts w:hint="eastAsia"/>
          <w:highlight w:val="none"/>
          <w:lang w:eastAsia="zh-CN"/>
        </w:rPr>
        <w:t>配合</w:t>
      </w:r>
      <w:r>
        <w:rPr>
          <w:rFonts w:hint="eastAsia"/>
          <w:highlight w:val="none"/>
          <w:lang w:val="en-US" w:eastAsia="zh-CN"/>
        </w:rPr>
        <w:t>投标人</w:t>
      </w:r>
      <w:r>
        <w:rPr>
          <w:rFonts w:hint="eastAsia"/>
          <w:highlight w:val="none"/>
          <w:lang w:eastAsia="zh-CN"/>
        </w:rPr>
        <w:t>组织安装人员进行安装，技术人员来往国际机票和技术人员在</w:t>
      </w:r>
      <w:r>
        <w:rPr>
          <w:rFonts w:hint="eastAsia"/>
          <w:highlight w:val="none"/>
          <w:lang w:val="en-US" w:eastAsia="zh-CN"/>
        </w:rPr>
        <w:t>菲律宾</w:t>
      </w:r>
      <w:r>
        <w:rPr>
          <w:rFonts w:hint="eastAsia"/>
          <w:highlight w:val="none"/>
          <w:lang w:eastAsia="zh-CN"/>
        </w:rPr>
        <w:t>的住宿、饮食及交通由</w:t>
      </w:r>
      <w:r>
        <w:rPr>
          <w:rFonts w:hint="eastAsia"/>
          <w:highlight w:val="none"/>
          <w:lang w:val="en-US" w:eastAsia="zh-CN"/>
        </w:rPr>
        <w:t>菲律宾分公司</w:t>
      </w:r>
      <w:r>
        <w:rPr>
          <w:rFonts w:hint="eastAsia"/>
          <w:highlight w:val="none"/>
          <w:lang w:eastAsia="zh-CN"/>
        </w:rPr>
        <w:t>承担，薪资及各项补贴由</w:t>
      </w:r>
      <w:r>
        <w:rPr>
          <w:rFonts w:hint="eastAsia"/>
          <w:highlight w:val="none"/>
          <w:lang w:val="en-US" w:eastAsia="zh-CN"/>
        </w:rPr>
        <w:t>投标人</w:t>
      </w:r>
      <w:r>
        <w:rPr>
          <w:rFonts w:hint="eastAsia"/>
          <w:highlight w:val="none"/>
          <w:lang w:eastAsia="zh-CN"/>
        </w:rPr>
        <w:t>承担，</w:t>
      </w:r>
      <w:r>
        <w:rPr>
          <w:rFonts w:hint="eastAsia"/>
          <w:highlight w:val="none"/>
          <w:lang w:val="en-US" w:eastAsia="zh-CN"/>
        </w:rPr>
        <w:t>为期两个月，</w:t>
      </w:r>
      <w:r>
        <w:rPr>
          <w:rFonts w:hint="eastAsia"/>
          <w:highlight w:val="none"/>
          <w:lang w:eastAsia="zh-CN"/>
        </w:rPr>
        <w:t>签证由</w:t>
      </w:r>
      <w:r>
        <w:rPr>
          <w:rFonts w:hint="eastAsia"/>
          <w:highlight w:val="none"/>
          <w:lang w:val="en-US" w:eastAsia="zh-CN"/>
        </w:rPr>
        <w:t>菲律宾分公司</w:t>
      </w:r>
      <w:r>
        <w:rPr>
          <w:rFonts w:hint="eastAsia"/>
          <w:highlight w:val="none"/>
          <w:lang w:eastAsia="zh-CN"/>
        </w:rPr>
        <w:t>提供必要协助。</w:t>
      </w:r>
    </w:p>
    <w:p>
      <w:pPr>
        <w:spacing w:line="360" w:lineRule="auto"/>
        <w:ind w:firstLine="440" w:firstLineChars="200"/>
        <w:rPr>
          <w:bCs/>
          <w:sz w:val="22"/>
          <w:szCs w:val="28"/>
        </w:rPr>
      </w:pPr>
      <w:r>
        <w:rPr>
          <w:rFonts w:hint="eastAsia"/>
          <w:bCs/>
          <w:sz w:val="22"/>
          <w:szCs w:val="28"/>
        </w:rPr>
        <w:t xml:space="preserve">(5) </w:t>
      </w:r>
      <w:r>
        <w:rPr>
          <w:rFonts w:hint="eastAsia" w:asciiTheme="minorEastAsia" w:hAnsiTheme="minorEastAsia"/>
          <w:szCs w:val="21"/>
        </w:rPr>
        <w:t>履约能力证明文件（以往做过的项目实例）</w:t>
      </w:r>
    </w:p>
    <w:p>
      <w:pPr>
        <w:spacing w:line="360" w:lineRule="auto"/>
        <w:ind w:firstLine="420" w:firstLineChars="200"/>
        <w:rPr>
          <w:bCs/>
          <w:sz w:val="22"/>
          <w:szCs w:val="28"/>
        </w:rPr>
      </w:pPr>
      <w:r>
        <w:rPr>
          <w:rFonts w:hint="eastAsia" w:asciiTheme="minorEastAsia" w:hAnsiTheme="minorEastAsia"/>
          <w:szCs w:val="21"/>
        </w:rPr>
        <w:t>据此函，签字代表宣布如下：</w:t>
      </w:r>
    </w:p>
    <w:p>
      <w:pPr>
        <w:spacing w:line="360" w:lineRule="auto"/>
        <w:ind w:firstLine="440" w:firstLineChars="200"/>
        <w:rPr>
          <w:bCs/>
          <w:sz w:val="22"/>
          <w:szCs w:val="28"/>
        </w:rPr>
      </w:pPr>
      <w:r>
        <w:rPr>
          <w:rFonts w:hint="eastAsia"/>
          <w:bCs/>
          <w:sz w:val="22"/>
          <w:szCs w:val="28"/>
        </w:rPr>
        <w:t xml:space="preserve">1. </w:t>
      </w:r>
      <w:r>
        <w:rPr>
          <w:rFonts w:hint="eastAsia" w:asciiTheme="minorEastAsia" w:hAnsiTheme="minorEastAsia"/>
          <w:szCs w:val="21"/>
        </w:rPr>
        <w:t>提供和交付的物资投标价按《投标报价一览表》所列。</w:t>
      </w:r>
    </w:p>
    <w:p>
      <w:pPr>
        <w:spacing w:line="360" w:lineRule="auto"/>
        <w:ind w:firstLine="630" w:firstLineChars="300"/>
      </w:pPr>
      <w:r>
        <w:rPr>
          <w:rFonts w:hint="eastAsia" w:asciiTheme="minorEastAsia" w:hAnsiTheme="minorEastAsia"/>
          <w:szCs w:val="21"/>
        </w:rPr>
        <w:t>投标报价为：___________（</w:t>
      </w:r>
      <w:r>
        <w:rPr>
          <w:rFonts w:hint="eastAsia" w:asciiTheme="minorEastAsia" w:hAnsiTheme="minorEastAsia"/>
          <w:szCs w:val="21"/>
          <w:lang w:val="en-US" w:eastAsia="zh-CN"/>
        </w:rPr>
        <w:t>人民币</w:t>
      </w:r>
      <w:r>
        <w:rPr>
          <w:rFonts w:hint="eastAsia" w:asciiTheme="minorEastAsia" w:hAnsiTheme="minorEastAsia"/>
          <w:szCs w:val="21"/>
        </w:rPr>
        <w:t>）。</w:t>
      </w:r>
    </w:p>
    <w:p>
      <w:pPr>
        <w:spacing w:line="360" w:lineRule="auto"/>
        <w:ind w:firstLine="440" w:firstLineChars="200"/>
        <w:rPr>
          <w:bCs/>
          <w:sz w:val="22"/>
          <w:szCs w:val="28"/>
        </w:rPr>
      </w:pPr>
      <w:r>
        <w:rPr>
          <w:rFonts w:hint="eastAsia"/>
          <w:bCs/>
          <w:sz w:val="22"/>
          <w:szCs w:val="28"/>
        </w:rPr>
        <w:t xml:space="preserve">2. </w:t>
      </w:r>
      <w:r>
        <w:rPr>
          <w:rFonts w:hint="eastAsia" w:asciiTheme="minorEastAsia" w:hAnsiTheme="minorEastAsia"/>
          <w:szCs w:val="21"/>
        </w:rPr>
        <w:t>将按“招标文件”的规定，履行合同责任和义务。</w:t>
      </w:r>
    </w:p>
    <w:p>
      <w:pPr>
        <w:spacing w:line="360" w:lineRule="auto"/>
        <w:ind w:firstLine="440" w:firstLineChars="200"/>
        <w:rPr>
          <w:bCs/>
          <w:sz w:val="22"/>
          <w:szCs w:val="28"/>
        </w:rPr>
      </w:pPr>
      <w:r>
        <w:rPr>
          <w:rFonts w:hint="eastAsia"/>
          <w:bCs/>
          <w:sz w:val="22"/>
          <w:szCs w:val="28"/>
        </w:rPr>
        <w:t xml:space="preserve">3. </w:t>
      </w:r>
      <w:r>
        <w:rPr>
          <w:rFonts w:hint="eastAsia" w:asciiTheme="minorEastAsia" w:hAnsiTheme="minorEastAsia"/>
          <w:szCs w:val="21"/>
        </w:rPr>
        <w:t>投标方已详细审查全部“招标文件”，以及全部参考资料和有关附件。我们完全理解并同意放弃对这方面有不明及误解的权利。</w:t>
      </w:r>
    </w:p>
    <w:p>
      <w:pPr>
        <w:spacing w:line="360" w:lineRule="auto"/>
        <w:ind w:firstLine="440" w:firstLineChars="200"/>
        <w:rPr>
          <w:bCs/>
          <w:sz w:val="22"/>
          <w:szCs w:val="28"/>
        </w:rPr>
      </w:pPr>
      <w:r>
        <w:rPr>
          <w:rFonts w:hint="eastAsia"/>
          <w:bCs/>
          <w:sz w:val="22"/>
          <w:szCs w:val="28"/>
        </w:rPr>
        <w:t xml:space="preserve">4. </w:t>
      </w:r>
      <w:r>
        <w:rPr>
          <w:rFonts w:hint="eastAsia" w:asciiTheme="minorEastAsia" w:hAnsiTheme="minorEastAsia"/>
          <w:szCs w:val="21"/>
        </w:rPr>
        <w:t>投标有效期自“投标文件”从开标之日算起，有效期为</w:t>
      </w:r>
      <w:r>
        <w:rPr>
          <w:rFonts w:hint="eastAsia" w:asciiTheme="minorEastAsia" w:hAnsiTheme="minorEastAsia"/>
          <w:szCs w:val="21"/>
          <w:lang w:val="en-US" w:eastAsia="zh-CN"/>
        </w:rPr>
        <w:t>10</w:t>
      </w:r>
      <w:r>
        <w:rPr>
          <w:rFonts w:hint="eastAsia" w:asciiTheme="minorEastAsia" w:hAnsiTheme="minorEastAsia"/>
          <w:szCs w:val="21"/>
        </w:rPr>
        <w:t>天。</w:t>
      </w:r>
    </w:p>
    <w:p>
      <w:pPr>
        <w:spacing w:line="360" w:lineRule="auto"/>
        <w:ind w:firstLine="440" w:firstLineChars="200"/>
      </w:pPr>
      <w:r>
        <w:rPr>
          <w:rFonts w:hint="eastAsia"/>
          <w:bCs/>
          <w:sz w:val="22"/>
          <w:szCs w:val="28"/>
        </w:rPr>
        <w:t xml:space="preserve">5. </w:t>
      </w:r>
      <w:r>
        <w:rPr>
          <w:rFonts w:hint="eastAsia" w:asciiTheme="minorEastAsia" w:hAnsiTheme="minorEastAsia"/>
          <w:szCs w:val="21"/>
        </w:rPr>
        <w:t>投标方在投标有效期内撤回投标或中标后不签约，取消以后的投标资格。</w:t>
      </w:r>
    </w:p>
    <w:p>
      <w:pPr>
        <w:spacing w:line="360" w:lineRule="auto"/>
        <w:ind w:firstLine="440" w:firstLineChars="200"/>
        <w:rPr>
          <w:bCs/>
          <w:sz w:val="22"/>
          <w:szCs w:val="28"/>
        </w:rPr>
      </w:pPr>
      <w:r>
        <w:rPr>
          <w:rFonts w:hint="eastAsia"/>
          <w:bCs/>
          <w:sz w:val="22"/>
          <w:szCs w:val="28"/>
        </w:rPr>
        <w:t>6.</w:t>
      </w:r>
      <w:r>
        <w:rPr>
          <w:rFonts w:hint="eastAsia" w:asciiTheme="minorEastAsia" w:hAnsiTheme="minorEastAsia"/>
          <w:szCs w:val="21"/>
        </w:rPr>
        <w:t>投标方同意按照贵方要求提供与投标有关的一切数据或资料，理解贵方不一定选择最低报价一定中标的方案。</w:t>
      </w:r>
    </w:p>
    <w:p>
      <w:pPr>
        <w:spacing w:line="360" w:lineRule="auto"/>
        <w:ind w:firstLine="440" w:firstLineChars="200"/>
        <w:rPr>
          <w:rFonts w:asciiTheme="minorEastAsia" w:hAnsiTheme="minorEastAsia"/>
          <w:szCs w:val="21"/>
        </w:rPr>
      </w:pPr>
      <w:r>
        <w:rPr>
          <w:rFonts w:hint="eastAsia"/>
          <w:bCs/>
          <w:sz w:val="22"/>
          <w:szCs w:val="28"/>
        </w:rPr>
        <w:t xml:space="preserve">7. </w:t>
      </w:r>
      <w:r>
        <w:rPr>
          <w:rFonts w:hint="eastAsia" w:asciiTheme="minorEastAsia" w:hAnsiTheme="minorEastAsia"/>
          <w:szCs w:val="21"/>
        </w:rPr>
        <w:t>有关的一切正式往来通讯请寄：</w:t>
      </w:r>
    </w:p>
    <w:p>
      <w:pPr>
        <w:spacing w:line="360" w:lineRule="auto"/>
        <w:ind w:firstLine="440" w:firstLineChars="200"/>
        <w:rPr>
          <w:bCs/>
          <w:sz w:val="22"/>
          <w:szCs w:val="28"/>
        </w:rPr>
      </w:pPr>
    </w:p>
    <w:p>
      <w:pPr>
        <w:spacing w:line="360" w:lineRule="auto"/>
        <w:ind w:firstLine="420" w:firstLineChars="200"/>
        <w:rPr>
          <w:bCs/>
          <w:sz w:val="22"/>
          <w:szCs w:val="28"/>
        </w:rPr>
      </w:pPr>
      <w:r>
        <w:rPr>
          <w:rFonts w:hint="eastAsia" w:asciiTheme="minorEastAsia" w:hAnsiTheme="minorEastAsia"/>
          <w:szCs w:val="21"/>
        </w:rPr>
        <w:t>单位名称：__________________</w:t>
      </w:r>
    </w:p>
    <w:p>
      <w:pPr>
        <w:spacing w:line="360" w:lineRule="auto"/>
        <w:ind w:firstLine="420" w:firstLineChars="200"/>
        <w:rPr>
          <w:bCs/>
          <w:sz w:val="22"/>
          <w:szCs w:val="28"/>
        </w:rPr>
      </w:pPr>
      <w:r>
        <w:rPr>
          <w:rFonts w:hint="eastAsia" w:asciiTheme="minorEastAsia" w:hAnsiTheme="minorEastAsia"/>
          <w:szCs w:val="21"/>
        </w:rPr>
        <w:t>通讯地址：__________________      邮编：__________</w:t>
      </w:r>
    </w:p>
    <w:p>
      <w:pPr>
        <w:spacing w:line="360" w:lineRule="auto"/>
        <w:ind w:firstLine="420" w:firstLineChars="200"/>
      </w:pPr>
      <w:r>
        <w:rPr>
          <w:rFonts w:hint="eastAsia" w:asciiTheme="minorEastAsia" w:hAnsiTheme="minorEastAsia"/>
          <w:szCs w:val="21"/>
        </w:rPr>
        <w:t>联系人：____________________</w:t>
      </w:r>
    </w:p>
    <w:p>
      <w:pPr>
        <w:spacing w:line="360" w:lineRule="auto"/>
        <w:ind w:firstLine="420" w:firstLineChars="200"/>
      </w:pPr>
      <w:r>
        <w:rPr>
          <w:rFonts w:hint="eastAsia" w:asciiTheme="minorEastAsia" w:hAnsiTheme="minorEastAsia"/>
          <w:szCs w:val="21"/>
        </w:rPr>
        <w:t>电话：______________________</w:t>
      </w:r>
    </w:p>
    <w:p>
      <w:pPr>
        <w:spacing w:line="360" w:lineRule="auto"/>
        <w:ind w:firstLine="420" w:firstLineChars="200"/>
        <w:rPr>
          <w:rFonts w:asciiTheme="minorEastAsia" w:hAnsiTheme="minorEastAsia"/>
          <w:szCs w:val="21"/>
          <w:u w:val="single"/>
        </w:rPr>
      </w:pPr>
      <w:r>
        <w:rPr>
          <w:rFonts w:hint="eastAsia" w:asciiTheme="minorEastAsia" w:hAnsiTheme="minorEastAsia"/>
          <w:szCs w:val="21"/>
        </w:rPr>
        <w:t>传真：______________________</w:t>
      </w:r>
    </w:p>
    <w:p>
      <w:pPr>
        <w:widowControl/>
        <w:spacing w:line="360" w:lineRule="auto"/>
        <w:ind w:firstLine="440" w:firstLineChars="200"/>
        <w:rPr>
          <w:bCs/>
          <w:sz w:val="22"/>
          <w:szCs w:val="28"/>
        </w:rPr>
      </w:pPr>
      <w:r>
        <w:rPr>
          <w:bCs/>
          <w:sz w:val="22"/>
          <w:szCs w:val="28"/>
        </w:rPr>
        <w:br w:type="page"/>
      </w: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b/>
          <w:sz w:val="32"/>
          <w:szCs w:val="32"/>
        </w:rPr>
      </w:pPr>
      <w:bookmarkStart w:id="125" w:name="_Toc27517"/>
      <w:r>
        <w:rPr>
          <w:rFonts w:hint="eastAsia"/>
          <w:b/>
          <w:sz w:val="32"/>
          <w:szCs w:val="32"/>
        </w:rPr>
        <w:t>附件二</w:t>
      </w:r>
      <w:bookmarkEnd w:id="125"/>
    </w:p>
    <w:p>
      <w:pPr>
        <w:spacing w:line="360" w:lineRule="auto"/>
        <w:ind w:firstLine="643" w:firstLineChars="200"/>
      </w:pPr>
      <w:r>
        <w:rPr>
          <w:rFonts w:hint="eastAsia" w:asciiTheme="minorEastAsia" w:hAnsiTheme="minorEastAsia"/>
          <w:b/>
          <w:sz w:val="32"/>
          <w:szCs w:val="32"/>
        </w:rPr>
        <w:t>法定代表人授权委托书</w:t>
      </w:r>
    </w:p>
    <w:p>
      <w:pPr>
        <w:spacing w:line="360" w:lineRule="auto"/>
        <w:ind w:firstLine="440" w:firstLineChars="200"/>
        <w:rPr>
          <w:bCs/>
          <w:sz w:val="22"/>
          <w:szCs w:val="28"/>
        </w:rPr>
      </w:pPr>
    </w:p>
    <w:p>
      <w:pPr>
        <w:spacing w:line="360" w:lineRule="auto"/>
        <w:ind w:firstLine="420" w:firstLineChars="200"/>
      </w:pPr>
      <w:r>
        <w:rPr>
          <w:rFonts w:hint="eastAsia" w:asciiTheme="minorEastAsia" w:hAnsiTheme="minorEastAsia"/>
          <w:szCs w:val="21"/>
        </w:rPr>
        <w:t>本授权委托书声明：____________________公司法定代表人_______________职务__________授权__________（被授权人的姓名、职务）为本公司的合法代理人，以本公司名义参加贵单位采购项目的投标及合同的执行、完成和保修情况，并以本公司名义处理一切与之有关的事务。</w:t>
      </w:r>
    </w:p>
    <w:p>
      <w:pPr>
        <w:spacing w:line="360" w:lineRule="auto"/>
        <w:ind w:firstLine="420" w:firstLineChars="200"/>
        <w:rPr>
          <w:rFonts w:asciiTheme="minorEastAsia" w:hAnsiTheme="minorEastAsia"/>
          <w:szCs w:val="21"/>
        </w:rPr>
      </w:pPr>
      <w:r>
        <w:rPr>
          <w:rFonts w:hint="eastAsia" w:asciiTheme="minorEastAsia" w:hAnsiTheme="minorEastAsia"/>
          <w:szCs w:val="21"/>
        </w:rPr>
        <w:t>我公司对被授权人的签名负全部责任，被授权人签署的所有文件，不因授权人或授权的改变而失效。本授权书从授权之日起生效。</w:t>
      </w:r>
    </w:p>
    <w:p>
      <w:pPr>
        <w:spacing w:line="360" w:lineRule="auto"/>
        <w:ind w:firstLine="440" w:firstLineChars="200"/>
        <w:rPr>
          <w:bCs/>
          <w:sz w:val="22"/>
          <w:szCs w:val="28"/>
        </w:rPr>
      </w:pP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授权人签名：</w:t>
      </w:r>
      <w:r>
        <w:rPr>
          <w:rFonts w:asciiTheme="minorEastAsia" w:hAnsiTheme="minorEastAsia"/>
          <w:szCs w:val="21"/>
        </w:rPr>
        <w:t>_______________</w:t>
      </w:r>
      <w:r>
        <w:rPr>
          <w:rFonts w:hint="eastAsia" w:asciiTheme="minorEastAsia" w:hAnsiTheme="minorEastAsia"/>
          <w:szCs w:val="21"/>
        </w:rPr>
        <w:t>职务：</w:t>
      </w:r>
      <w:r>
        <w:rPr>
          <w:rFonts w:asciiTheme="minorEastAsia" w:hAnsiTheme="minorEastAsia"/>
          <w:szCs w:val="21"/>
        </w:rPr>
        <w:t>_______________</w:t>
      </w:r>
    </w:p>
    <w:p>
      <w:pPr>
        <w:spacing w:line="360" w:lineRule="auto"/>
        <w:ind w:firstLine="440" w:firstLineChars="200"/>
        <w:rPr>
          <w:bCs/>
          <w:sz w:val="22"/>
          <w:szCs w:val="28"/>
        </w:rPr>
      </w:pPr>
    </w:p>
    <w:p>
      <w:pPr>
        <w:spacing w:line="360" w:lineRule="auto"/>
        <w:ind w:firstLine="420" w:firstLineChars="200"/>
      </w:pPr>
      <w:r>
        <w:rPr>
          <w:rFonts w:hint="eastAsia" w:asciiTheme="minorEastAsia" w:hAnsiTheme="minorEastAsia"/>
          <w:szCs w:val="21"/>
        </w:rPr>
        <w:t>被授权人签名：</w:t>
      </w:r>
      <w:r>
        <w:rPr>
          <w:rFonts w:asciiTheme="minorEastAsia" w:hAnsiTheme="minorEastAsia"/>
          <w:szCs w:val="21"/>
        </w:rPr>
        <w:t>_____________</w:t>
      </w:r>
      <w:r>
        <w:rPr>
          <w:rFonts w:hint="eastAsia" w:asciiTheme="minorEastAsia" w:hAnsiTheme="minorEastAsia"/>
          <w:szCs w:val="21"/>
        </w:rPr>
        <w:t>职务：</w:t>
      </w:r>
      <w:r>
        <w:rPr>
          <w:rFonts w:asciiTheme="minorEastAsia" w:hAnsiTheme="minorEastAsia"/>
          <w:szCs w:val="21"/>
        </w:rPr>
        <w:t>_______________</w:t>
      </w:r>
    </w:p>
    <w:p>
      <w:pPr>
        <w:spacing w:line="360" w:lineRule="auto"/>
        <w:ind w:firstLine="440" w:firstLineChars="200"/>
        <w:rPr>
          <w:bCs/>
          <w:sz w:val="22"/>
          <w:szCs w:val="28"/>
        </w:rPr>
      </w:pPr>
    </w:p>
    <w:p>
      <w:pPr>
        <w:spacing w:line="360" w:lineRule="auto"/>
        <w:ind w:firstLine="420" w:firstLineChars="200"/>
        <w:rPr>
          <w:bCs/>
          <w:sz w:val="22"/>
          <w:szCs w:val="28"/>
        </w:rPr>
      </w:pPr>
      <w:r>
        <w:rPr>
          <w:rFonts w:hint="eastAsia" w:asciiTheme="minorEastAsia" w:hAnsiTheme="minorEastAsia"/>
          <w:szCs w:val="21"/>
        </w:rPr>
        <w:t>投标人单位名称（公章）：</w:t>
      </w:r>
      <w:r>
        <w:rPr>
          <w:rFonts w:asciiTheme="minorEastAsia" w:hAnsiTheme="minorEastAsia"/>
          <w:szCs w:val="21"/>
        </w:rPr>
        <w:t>________________________</w:t>
      </w:r>
      <w:r>
        <w:rPr>
          <w:rFonts w:hint="eastAsia" w:asciiTheme="minorEastAsia" w:hAnsiTheme="minorEastAsia"/>
          <w:szCs w:val="21"/>
        </w:rPr>
        <w:t>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单位地址：</w:t>
      </w:r>
      <w:r>
        <w:rPr>
          <w:rFonts w:asciiTheme="minorEastAsia" w:hAnsiTheme="minorEastAsia"/>
          <w:szCs w:val="21"/>
        </w:rPr>
        <w:t>______________________________________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电话：</w:t>
      </w:r>
      <w:r>
        <w:rPr>
          <w:rFonts w:asciiTheme="minorEastAsia" w:hAnsiTheme="minorEastAsia"/>
          <w:szCs w:val="21"/>
        </w:rPr>
        <w:t>_________________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传真：</w:t>
      </w:r>
      <w:r>
        <w:rPr>
          <w:rFonts w:asciiTheme="minorEastAsia" w:hAnsiTheme="minorEastAsia"/>
          <w:szCs w:val="21"/>
        </w:rPr>
        <w:t>_________________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（附：委托代理人身份证复印件）</w:t>
      </w:r>
    </w:p>
    <w:p>
      <w:pPr>
        <w:pStyle w:val="15"/>
        <w:spacing w:line="360" w:lineRule="auto"/>
        <w:ind w:firstLine="560"/>
      </w:pPr>
    </w:p>
    <w:p>
      <w:pPr>
        <w:spacing w:line="360" w:lineRule="auto"/>
        <w:ind w:firstLine="420" w:firstLineChars="200"/>
        <w:rPr>
          <w:rFonts w:asciiTheme="minorEastAsia" w:hAnsiTheme="minorEastAsia"/>
          <w:szCs w:val="21"/>
        </w:rPr>
      </w:pPr>
      <w:r>
        <w:rPr>
          <w:rFonts w:hint="eastAsia" w:asciiTheme="minorEastAsia" w:hAnsiTheme="minorEastAsia"/>
          <w:szCs w:val="21"/>
        </w:rPr>
        <w:t>授权日期：</w:t>
      </w:r>
      <w:r>
        <w:rPr>
          <w:rFonts w:asciiTheme="minorEastAsia" w:hAnsiTheme="minorEastAsia"/>
          <w:szCs w:val="21"/>
        </w:rPr>
        <w:t>_______</w:t>
      </w:r>
      <w:r>
        <w:rPr>
          <w:rFonts w:hint="eastAsia" w:asciiTheme="minorEastAsia" w:hAnsiTheme="minorEastAsia"/>
          <w:szCs w:val="21"/>
        </w:rPr>
        <w:t>年</w:t>
      </w:r>
      <w:r>
        <w:rPr>
          <w:rFonts w:asciiTheme="minorEastAsia" w:hAnsiTheme="minorEastAsia"/>
          <w:szCs w:val="21"/>
        </w:rPr>
        <w:t>_____</w:t>
      </w:r>
      <w:r>
        <w:rPr>
          <w:rFonts w:hint="eastAsia" w:asciiTheme="minorEastAsia" w:hAnsiTheme="minorEastAsia"/>
          <w:szCs w:val="21"/>
        </w:rPr>
        <w:t>月</w:t>
      </w:r>
      <w:r>
        <w:rPr>
          <w:rFonts w:asciiTheme="minorEastAsia" w:hAnsiTheme="minorEastAsia"/>
          <w:szCs w:val="21"/>
        </w:rPr>
        <w:t>_____</w:t>
      </w:r>
      <w:r>
        <w:rPr>
          <w:rFonts w:hint="eastAsia" w:asciiTheme="minorEastAsia" w:hAnsiTheme="minorEastAsia"/>
          <w:szCs w:val="21"/>
        </w:rPr>
        <w:t>日</w:t>
      </w:r>
    </w:p>
    <w:p>
      <w:pPr>
        <w:spacing w:line="360" w:lineRule="auto"/>
        <w:ind w:firstLine="440" w:firstLineChars="200"/>
        <w:rPr>
          <w:bCs/>
          <w:sz w:val="22"/>
          <w:szCs w:val="28"/>
        </w:rPr>
      </w:pP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outlineLvl w:val="9"/>
        <w:rPr>
          <w:bCs/>
          <w:sz w:val="22"/>
          <w:szCs w:val="28"/>
        </w:rPr>
      </w:pP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b/>
          <w:sz w:val="32"/>
          <w:szCs w:val="32"/>
        </w:rPr>
      </w:pPr>
      <w:bookmarkStart w:id="126" w:name="_Toc17520"/>
      <w:r>
        <w:rPr>
          <w:rFonts w:hint="eastAsia"/>
          <w:b/>
          <w:sz w:val="32"/>
          <w:szCs w:val="32"/>
        </w:rPr>
        <w:t>附件三</w:t>
      </w:r>
      <w:bookmarkEnd w:id="126"/>
    </w:p>
    <w:p>
      <w:pPr>
        <w:tabs>
          <w:tab w:val="left" w:pos="3255"/>
        </w:tabs>
        <w:spacing w:line="360" w:lineRule="auto"/>
        <w:ind w:firstLine="643" w:firstLineChars="200"/>
        <w:rPr>
          <w:rFonts w:asciiTheme="minorEastAsia" w:hAnsiTheme="minorEastAsia"/>
          <w:b/>
          <w:sz w:val="32"/>
          <w:szCs w:val="32"/>
        </w:rPr>
      </w:pPr>
      <w:r>
        <w:rPr>
          <w:rFonts w:hint="eastAsia" w:asciiTheme="minorEastAsia" w:hAnsiTheme="minorEastAsia"/>
          <w:b/>
          <w:sz w:val="32"/>
          <w:szCs w:val="32"/>
        </w:rPr>
        <w:t>投标项目及报价表</w:t>
      </w:r>
    </w:p>
    <w:p>
      <w:pPr>
        <w:spacing w:line="360" w:lineRule="auto"/>
        <w:ind w:firstLine="630" w:firstLineChars="300"/>
        <w:rPr>
          <w:rFonts w:hint="eastAsia" w:asciiTheme="minorEastAsia" w:hAnsiTheme="minorEastAsia"/>
          <w:szCs w:val="21"/>
        </w:rPr>
      </w:pPr>
      <w:r>
        <w:rPr>
          <w:rFonts w:hint="eastAsia" w:asciiTheme="minorEastAsia" w:hAnsiTheme="minorEastAsia"/>
          <w:szCs w:val="21"/>
          <w:lang w:val="en-US" w:eastAsia="zh-CN"/>
        </w:rPr>
        <w:t>1.</w:t>
      </w:r>
      <w:r>
        <w:rPr>
          <w:rFonts w:hint="eastAsia" w:asciiTheme="minorEastAsia" w:hAnsiTheme="minorEastAsia"/>
          <w:szCs w:val="21"/>
        </w:rPr>
        <w:t>投标项目的内容</w:t>
      </w:r>
    </w:p>
    <w:tbl>
      <w:tblPr>
        <w:tblStyle w:val="16"/>
        <w:tblpPr w:leftFromText="180" w:rightFromText="180" w:vertAnchor="text" w:horzAnchor="page" w:tblpXSpec="center" w:tblpY="289"/>
        <w:tblOverlap w:val="never"/>
        <w:tblW w:w="9800"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8" w:type="dxa"/>
          <w:bottom w:w="0" w:type="dxa"/>
          <w:right w:w="108" w:type="dxa"/>
        </w:tblCellMar>
      </w:tblPr>
      <w:tblGrid>
        <w:gridCol w:w="800"/>
        <w:gridCol w:w="1092"/>
        <w:gridCol w:w="1164"/>
        <w:gridCol w:w="2215"/>
        <w:gridCol w:w="735"/>
        <w:gridCol w:w="651"/>
        <w:gridCol w:w="1135"/>
        <w:gridCol w:w="2008"/>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925" w:hRule="atLeast"/>
          <w:jc w:val="center"/>
        </w:trPr>
        <w:tc>
          <w:tcPr>
            <w:tcW w:w="800" w:type="dxa"/>
            <w:tcBorders>
              <w:bottom w:val="single" w:color="auto" w:sz="4" w:space="0"/>
              <w:right w:val="single" w:color="auto" w:sz="4" w:space="0"/>
            </w:tcBorders>
            <w:vAlign w:val="center"/>
          </w:tcPr>
          <w:p>
            <w:pPr>
              <w:widowControl/>
              <w:spacing w:line="360" w:lineRule="auto"/>
              <w:jc w:val="both"/>
              <w:rPr>
                <w:rFonts w:ascii="Calibri" w:hAnsi="Calibri" w:cs="宋体"/>
                <w:b/>
                <w:bCs/>
                <w:kern w:val="0"/>
              </w:rPr>
            </w:pPr>
            <w:r>
              <w:rPr>
                <w:rFonts w:hint="eastAsia" w:ascii="Calibri" w:hAnsi="Calibri" w:cs="宋体"/>
                <w:b/>
                <w:bCs/>
                <w:kern w:val="0"/>
              </w:rPr>
              <w:t>序号</w:t>
            </w:r>
          </w:p>
          <w:p>
            <w:pPr>
              <w:spacing w:line="360" w:lineRule="auto"/>
              <w:jc w:val="both"/>
              <w:rPr>
                <w:rFonts w:ascii="Calibri" w:hAnsi="Calibri" w:cs="宋体"/>
                <w:b/>
                <w:bCs/>
                <w:kern w:val="0"/>
              </w:rPr>
            </w:pPr>
          </w:p>
        </w:tc>
        <w:tc>
          <w:tcPr>
            <w:tcW w:w="1092" w:type="dxa"/>
            <w:tcBorders>
              <w:left w:val="nil"/>
              <w:bottom w:val="single" w:color="auto" w:sz="4" w:space="0"/>
              <w:right w:val="single" w:color="auto" w:sz="4" w:space="0"/>
            </w:tcBorders>
            <w:vAlign w:val="center"/>
          </w:tcPr>
          <w:p>
            <w:pPr>
              <w:widowControl/>
              <w:spacing w:line="360" w:lineRule="auto"/>
              <w:jc w:val="both"/>
              <w:rPr>
                <w:rFonts w:ascii="Calibri" w:hAnsi="Calibri" w:cs="宋体"/>
                <w:b/>
                <w:bCs/>
                <w:kern w:val="0"/>
              </w:rPr>
            </w:pPr>
            <w:r>
              <w:rPr>
                <w:rFonts w:hint="eastAsia" w:ascii="Calibri" w:hAnsi="Calibri" w:cs="宋体"/>
                <w:b/>
                <w:bCs/>
                <w:kern w:val="0"/>
              </w:rPr>
              <w:t>物资名称</w:t>
            </w:r>
          </w:p>
          <w:p>
            <w:pPr>
              <w:spacing w:line="360" w:lineRule="auto"/>
              <w:jc w:val="both"/>
              <w:rPr>
                <w:rFonts w:ascii="Calibri" w:hAnsi="Calibri" w:cs="宋体"/>
                <w:b/>
                <w:bCs/>
                <w:kern w:val="0"/>
              </w:rPr>
            </w:pPr>
          </w:p>
        </w:tc>
        <w:tc>
          <w:tcPr>
            <w:tcW w:w="1164" w:type="dxa"/>
            <w:tcBorders>
              <w:left w:val="nil"/>
              <w:bottom w:val="single" w:color="auto" w:sz="4" w:space="0"/>
              <w:right w:val="single" w:color="auto" w:sz="4" w:space="0"/>
            </w:tcBorders>
            <w:vAlign w:val="center"/>
          </w:tcPr>
          <w:p>
            <w:pPr>
              <w:widowControl/>
              <w:spacing w:line="360" w:lineRule="auto"/>
              <w:jc w:val="both"/>
              <w:rPr>
                <w:rFonts w:ascii="Calibri" w:hAnsi="Calibri" w:cs="宋体"/>
                <w:b/>
                <w:bCs/>
                <w:kern w:val="0"/>
              </w:rPr>
            </w:pPr>
            <w:r>
              <w:rPr>
                <w:rFonts w:hint="eastAsia" w:ascii="Calibri" w:hAnsi="Calibri" w:cs="宋体"/>
                <w:b/>
                <w:bCs/>
                <w:kern w:val="0"/>
              </w:rPr>
              <w:t>规格型号</w:t>
            </w:r>
          </w:p>
          <w:p>
            <w:pPr>
              <w:spacing w:line="360" w:lineRule="auto"/>
              <w:jc w:val="both"/>
              <w:rPr>
                <w:rFonts w:ascii="Calibri" w:hAnsi="Calibri" w:cs="宋体"/>
                <w:b/>
                <w:bCs/>
                <w:kern w:val="0"/>
              </w:rPr>
            </w:pPr>
          </w:p>
        </w:tc>
        <w:tc>
          <w:tcPr>
            <w:tcW w:w="2215" w:type="dxa"/>
            <w:tcBorders>
              <w:left w:val="nil"/>
              <w:bottom w:val="single" w:color="000000" w:sz="4" w:space="0"/>
              <w:right w:val="single" w:color="auto" w:sz="4" w:space="0"/>
            </w:tcBorders>
            <w:vAlign w:val="center"/>
          </w:tcPr>
          <w:p>
            <w:pPr>
              <w:widowControl/>
              <w:spacing w:line="360" w:lineRule="auto"/>
              <w:ind w:firstLine="422" w:firstLineChars="200"/>
              <w:jc w:val="both"/>
              <w:rPr>
                <w:rFonts w:ascii="Calibri" w:hAnsi="Calibri" w:cs="宋体"/>
                <w:b/>
                <w:bCs/>
                <w:kern w:val="0"/>
              </w:rPr>
            </w:pPr>
            <w:r>
              <w:rPr>
                <w:rFonts w:hint="eastAsia" w:ascii="Calibri" w:hAnsi="Calibri" w:cs="宋体"/>
                <w:b/>
                <w:bCs/>
                <w:kern w:val="0"/>
              </w:rPr>
              <w:t>规范要求</w:t>
            </w:r>
          </w:p>
          <w:p>
            <w:pPr>
              <w:spacing w:line="360" w:lineRule="auto"/>
              <w:ind w:firstLine="422" w:firstLineChars="200"/>
              <w:jc w:val="both"/>
              <w:rPr>
                <w:rFonts w:ascii="Calibri" w:hAnsi="Calibri" w:cs="宋体"/>
                <w:b/>
                <w:bCs/>
                <w:kern w:val="0"/>
              </w:rPr>
            </w:pPr>
          </w:p>
        </w:tc>
        <w:tc>
          <w:tcPr>
            <w:tcW w:w="735" w:type="dxa"/>
            <w:tcBorders>
              <w:left w:val="nil"/>
              <w:bottom w:val="single" w:color="auto" w:sz="4" w:space="0"/>
              <w:right w:val="single" w:color="auto" w:sz="4" w:space="0"/>
            </w:tcBorders>
            <w:vAlign w:val="center"/>
          </w:tcPr>
          <w:p>
            <w:pPr>
              <w:spacing w:line="360" w:lineRule="auto"/>
              <w:jc w:val="left"/>
              <w:rPr>
                <w:rFonts w:ascii="Calibri" w:hAnsi="Calibri" w:cs="宋体"/>
                <w:b/>
                <w:bCs/>
                <w:kern w:val="0"/>
                <w:highlight w:val="none"/>
              </w:rPr>
            </w:pPr>
            <w:r>
              <w:rPr>
                <w:rFonts w:hint="eastAsia" w:ascii="Calibri" w:hAnsi="Calibri" w:cs="宋体"/>
                <w:b/>
                <w:bCs/>
                <w:kern w:val="0"/>
                <w:highlight w:val="none"/>
                <w:lang w:val="en-US" w:eastAsia="zh-CN"/>
              </w:rPr>
              <w:t>单位</w:t>
            </w:r>
          </w:p>
        </w:tc>
        <w:tc>
          <w:tcPr>
            <w:tcW w:w="651" w:type="dxa"/>
            <w:tcBorders>
              <w:left w:val="nil"/>
              <w:bottom w:val="single" w:color="auto" w:sz="4" w:space="0"/>
              <w:right w:val="single" w:color="auto" w:sz="4" w:space="0"/>
            </w:tcBorders>
            <w:vAlign w:val="center"/>
          </w:tcPr>
          <w:p>
            <w:pPr>
              <w:widowControl/>
              <w:spacing w:line="360" w:lineRule="auto"/>
              <w:jc w:val="both"/>
              <w:rPr>
                <w:rFonts w:ascii="Calibri" w:hAnsi="Calibri" w:cs="宋体"/>
                <w:b/>
                <w:bCs/>
                <w:kern w:val="0"/>
                <w:highlight w:val="none"/>
              </w:rPr>
            </w:pPr>
            <w:r>
              <w:rPr>
                <w:rFonts w:hint="eastAsia" w:ascii="Calibri" w:hAnsi="Calibri" w:cs="宋体"/>
                <w:b/>
                <w:bCs/>
                <w:kern w:val="0"/>
                <w:highlight w:val="none"/>
              </w:rPr>
              <w:t>数量</w:t>
            </w:r>
          </w:p>
          <w:p>
            <w:pPr>
              <w:spacing w:line="360" w:lineRule="auto"/>
              <w:jc w:val="both"/>
              <w:rPr>
                <w:rFonts w:ascii="Calibri" w:hAnsi="Calibri" w:cs="宋体"/>
                <w:b/>
                <w:bCs/>
                <w:kern w:val="0"/>
                <w:highlight w:val="none"/>
              </w:rPr>
            </w:pPr>
          </w:p>
        </w:tc>
        <w:tc>
          <w:tcPr>
            <w:tcW w:w="1135" w:type="dxa"/>
            <w:tcBorders>
              <w:left w:val="nil"/>
              <w:bottom w:val="single" w:color="auto" w:sz="4" w:space="0"/>
              <w:right w:val="single" w:color="auto" w:sz="4" w:space="0"/>
            </w:tcBorders>
            <w:vAlign w:val="center"/>
          </w:tcPr>
          <w:p>
            <w:pPr>
              <w:spacing w:line="360" w:lineRule="auto"/>
              <w:jc w:val="both"/>
              <w:rPr>
                <w:rFonts w:ascii="Calibri" w:hAnsi="Calibri" w:cs="宋体"/>
                <w:b/>
                <w:bCs/>
                <w:color w:val="000000"/>
                <w:kern w:val="0"/>
              </w:rPr>
            </w:pPr>
            <w:r>
              <w:rPr>
                <w:rFonts w:hint="eastAsia" w:ascii="Calibri" w:hAnsi="Calibri" w:cs="宋体"/>
                <w:b/>
                <w:bCs/>
                <w:color w:val="000000"/>
                <w:kern w:val="0"/>
              </w:rPr>
              <w:t>交货地</w:t>
            </w:r>
            <w:r>
              <w:rPr>
                <w:rFonts w:hint="eastAsia" w:ascii="Calibri" w:hAnsi="Calibri" w:cs="宋体"/>
                <w:b/>
                <w:bCs/>
                <w:color w:val="000000"/>
                <w:kern w:val="0"/>
                <w:lang w:val="en-US" w:eastAsia="zh-CN"/>
              </w:rPr>
              <w:t>点</w:t>
            </w:r>
          </w:p>
        </w:tc>
        <w:tc>
          <w:tcPr>
            <w:tcW w:w="2008" w:type="dxa"/>
            <w:tcBorders>
              <w:left w:val="nil"/>
              <w:bottom w:val="single" w:color="auto" w:sz="4" w:space="0"/>
            </w:tcBorders>
            <w:vAlign w:val="center"/>
          </w:tcPr>
          <w:p>
            <w:pPr>
              <w:widowControl/>
              <w:spacing w:line="360" w:lineRule="auto"/>
              <w:jc w:val="both"/>
              <w:rPr>
                <w:rFonts w:ascii="Calibri" w:hAnsi="Calibri" w:cs="宋体"/>
                <w:b/>
                <w:bCs/>
                <w:color w:val="000000"/>
                <w:kern w:val="0"/>
              </w:rPr>
            </w:pPr>
            <w:r>
              <w:rPr>
                <w:rFonts w:hint="eastAsia" w:ascii="Calibri" w:hAnsi="Calibri" w:cs="宋体"/>
                <w:b/>
                <w:bCs/>
                <w:color w:val="000000"/>
                <w:kern w:val="0"/>
              </w:rPr>
              <w:t>交货条件</w:t>
            </w:r>
          </w:p>
          <w:p>
            <w:pPr>
              <w:spacing w:line="360" w:lineRule="auto"/>
              <w:jc w:val="both"/>
              <w:rPr>
                <w:rFonts w:ascii="Calibri" w:hAnsi="Calibri" w:cs="宋体"/>
                <w:b/>
                <w:bCs/>
                <w:color w:val="000000"/>
                <w:kern w:val="0"/>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355" w:hRule="atLeast"/>
          <w:jc w:val="center"/>
        </w:trPr>
        <w:tc>
          <w:tcPr>
            <w:tcW w:w="800" w:type="dxa"/>
            <w:tcBorders>
              <w:top w:val="nil"/>
              <w:bottom w:val="single" w:color="auto" w:sz="4" w:space="0"/>
              <w:right w:val="single" w:color="auto" w:sz="4" w:space="0"/>
            </w:tcBorders>
            <w:vAlign w:val="center"/>
          </w:tcPr>
          <w:p>
            <w:pPr>
              <w:widowControl/>
              <w:spacing w:line="360" w:lineRule="auto"/>
              <w:ind w:firstLine="420" w:firstLineChars="200"/>
              <w:jc w:val="left"/>
              <w:rPr>
                <w:rFonts w:ascii="Calibri" w:hAnsi="Calibri"/>
                <w:kern w:val="0"/>
              </w:rPr>
            </w:pPr>
            <w:r>
              <w:rPr>
                <w:rFonts w:ascii="Calibri" w:hAnsi="Calibri"/>
                <w:kern w:val="0"/>
              </w:rPr>
              <w:t>1</w:t>
            </w:r>
          </w:p>
        </w:tc>
        <w:tc>
          <w:tcPr>
            <w:tcW w:w="1092" w:type="dxa"/>
            <w:tcBorders>
              <w:top w:val="nil"/>
              <w:left w:val="nil"/>
              <w:bottom w:val="single" w:color="auto" w:sz="4" w:space="0"/>
              <w:right w:val="single" w:color="auto" w:sz="4" w:space="0"/>
            </w:tcBorders>
            <w:vAlign w:val="center"/>
          </w:tcPr>
          <w:p>
            <w:pPr>
              <w:spacing w:line="360" w:lineRule="auto"/>
              <w:jc w:val="left"/>
              <w:rPr>
                <w:rFonts w:hint="default" w:ascii="Calibri" w:hAnsi="Calibri" w:cs="宋体" w:eastAsiaTheme="minorEastAsia"/>
                <w:color w:val="000000"/>
                <w:kern w:val="0"/>
                <w:lang w:val="en-US" w:eastAsia="zh-CN"/>
              </w:rPr>
            </w:pPr>
            <w:r>
              <w:rPr>
                <w:rFonts w:hint="eastAsia" w:ascii="Calibri" w:hAnsi="Calibri" w:cs="宋体"/>
                <w:color w:val="000000"/>
                <w:kern w:val="0"/>
              </w:rPr>
              <w:t>铝合金模板</w:t>
            </w:r>
            <w:r>
              <w:rPr>
                <w:rFonts w:hint="eastAsia" w:ascii="Calibri" w:hAnsi="Calibri" w:cs="宋体"/>
                <w:color w:val="000000"/>
                <w:kern w:val="0"/>
                <w:lang w:val="en-US" w:eastAsia="zh-CN"/>
              </w:rPr>
              <w:t>-墙模</w:t>
            </w:r>
          </w:p>
        </w:tc>
        <w:tc>
          <w:tcPr>
            <w:tcW w:w="1164" w:type="dxa"/>
            <w:vMerge w:val="restart"/>
            <w:tcBorders>
              <w:top w:val="nil"/>
              <w:left w:val="nil"/>
              <w:right w:val="single" w:color="auto" w:sz="4" w:space="0"/>
            </w:tcBorders>
            <w:vAlign w:val="center"/>
          </w:tcPr>
          <w:p>
            <w:pPr>
              <w:widowControl/>
              <w:spacing w:line="360" w:lineRule="auto"/>
              <w:jc w:val="left"/>
              <w:rPr>
                <w:rFonts w:hint="eastAsia" w:ascii="Calibri" w:hAnsi="Calibri" w:cs="宋体"/>
                <w:color w:val="000000"/>
                <w:kern w:val="0"/>
              </w:rPr>
            </w:pPr>
          </w:p>
          <w:p>
            <w:pPr>
              <w:widowControl/>
              <w:spacing w:line="360" w:lineRule="auto"/>
              <w:jc w:val="left"/>
              <w:rPr>
                <w:rFonts w:ascii="Calibri" w:hAnsi="Calibri" w:cs="宋体"/>
                <w:color w:val="000000"/>
                <w:kern w:val="0"/>
              </w:rPr>
            </w:pPr>
            <w:r>
              <w:rPr>
                <w:rFonts w:hint="eastAsia" w:ascii="Calibri" w:hAnsi="Calibri" w:cs="宋体"/>
                <w:color w:val="000000"/>
                <w:kern w:val="0"/>
              </w:rPr>
              <w:t>模板系统：拉片式铝合金；</w:t>
            </w:r>
          </w:p>
          <w:p>
            <w:pPr>
              <w:widowControl/>
              <w:spacing w:line="360" w:lineRule="auto"/>
              <w:jc w:val="left"/>
              <w:rPr>
                <w:rFonts w:ascii="Calibri" w:hAnsi="Calibri" w:cs="宋体"/>
                <w:color w:val="000000"/>
                <w:kern w:val="0"/>
              </w:rPr>
            </w:pPr>
            <w:r>
              <w:rPr>
                <w:rFonts w:hint="eastAsia" w:ascii="Calibri" w:hAnsi="Calibri" w:cs="宋体"/>
                <w:color w:val="000000"/>
                <w:kern w:val="0"/>
              </w:rPr>
              <w:t>材料型号：</w:t>
            </w:r>
            <w:r>
              <w:rPr>
                <w:rFonts w:ascii="Calibri" w:hAnsi="Calibri" w:cs="宋体"/>
                <w:color w:val="000000"/>
                <w:kern w:val="0"/>
              </w:rPr>
              <w:t>6061-T6</w:t>
            </w:r>
          </w:p>
          <w:p>
            <w:pPr>
              <w:spacing w:line="360" w:lineRule="auto"/>
              <w:ind w:firstLine="420" w:firstLineChars="200"/>
              <w:jc w:val="left"/>
              <w:rPr>
                <w:rFonts w:ascii="Calibri" w:hAnsi="Calibri" w:cs="宋体"/>
                <w:color w:val="000000"/>
                <w:kern w:val="0"/>
              </w:rPr>
            </w:pPr>
          </w:p>
          <w:p>
            <w:pPr>
              <w:spacing w:line="360" w:lineRule="auto"/>
              <w:ind w:firstLine="420" w:firstLineChars="200"/>
              <w:jc w:val="left"/>
              <w:rPr>
                <w:rFonts w:ascii="Calibri" w:hAnsi="Calibri" w:cs="宋体" w:eastAsiaTheme="minorEastAsia"/>
                <w:color w:val="000000"/>
                <w:kern w:val="0"/>
                <w:sz w:val="21"/>
                <w:szCs w:val="24"/>
                <w:lang w:val="en-US" w:eastAsia="zh-CN" w:bidi="ar-SA"/>
              </w:rPr>
            </w:pPr>
          </w:p>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restart"/>
            <w:tcBorders>
              <w:top w:val="nil"/>
              <w:left w:val="single" w:color="auto" w:sz="4" w:space="0"/>
              <w:right w:val="single" w:color="auto" w:sz="4" w:space="0"/>
            </w:tcBorders>
            <w:vAlign w:val="center"/>
          </w:tcPr>
          <w:p>
            <w:pPr>
              <w:widowControl/>
              <w:spacing w:line="360" w:lineRule="auto"/>
              <w:jc w:val="left"/>
              <w:rPr>
                <w:rFonts w:ascii="Calibri" w:hAnsi="Calibri" w:cs="宋体"/>
                <w:color w:val="000000"/>
                <w:kern w:val="0"/>
              </w:rPr>
            </w:pPr>
            <w:r>
              <w:rPr>
                <w:rFonts w:ascii="Calibri" w:hAnsi="Calibri" w:cs="宋体"/>
                <w:color w:val="000000"/>
                <w:kern w:val="0"/>
              </w:rPr>
              <w:t>1</w:t>
            </w:r>
            <w:r>
              <w:rPr>
                <w:rFonts w:hint="eastAsia" w:ascii="Calibri" w:hAnsi="Calibri" w:cs="宋体"/>
                <w:color w:val="000000"/>
                <w:kern w:val="0"/>
              </w:rPr>
              <w:t>，含墙身、楼面及</w:t>
            </w:r>
            <w:r>
              <w:rPr>
                <w:rFonts w:hint="eastAsia" w:ascii="Calibri" w:hAnsi="Calibri" w:cs="宋体"/>
                <w:color w:val="000000"/>
                <w:kern w:val="0"/>
                <w:lang w:val="en-US" w:eastAsia="zh-CN"/>
              </w:rPr>
              <w:t>SS</w:t>
            </w:r>
            <w:r>
              <w:rPr>
                <w:rFonts w:hint="eastAsia" w:ascii="Calibri" w:hAnsi="Calibri" w:cs="宋体"/>
                <w:color w:val="000000"/>
                <w:kern w:val="0"/>
              </w:rPr>
              <w:t>头及配件、粱与</w:t>
            </w:r>
            <w:r>
              <w:rPr>
                <w:rFonts w:ascii="Calibri" w:hAnsi="Calibri" w:cs="宋体"/>
                <w:color w:val="000000"/>
                <w:kern w:val="0"/>
              </w:rPr>
              <w:t>BP</w:t>
            </w:r>
            <w:r>
              <w:rPr>
                <w:rFonts w:hint="eastAsia" w:ascii="Calibri" w:hAnsi="Calibri" w:cs="宋体"/>
                <w:color w:val="000000"/>
                <w:kern w:val="0"/>
              </w:rPr>
              <w:t>头与配件、门窗及配件、楼梯、柱子及配件；</w:t>
            </w:r>
          </w:p>
          <w:p>
            <w:pPr>
              <w:widowControl/>
              <w:spacing w:line="360" w:lineRule="auto"/>
              <w:jc w:val="left"/>
              <w:rPr>
                <w:rFonts w:ascii="Calibri" w:hAnsi="Calibri" w:cs="宋体"/>
                <w:color w:val="000000"/>
                <w:kern w:val="0"/>
              </w:rPr>
            </w:pPr>
            <w:r>
              <w:rPr>
                <w:rFonts w:ascii="Calibri" w:hAnsi="Calibri" w:cs="宋体"/>
                <w:color w:val="000000"/>
                <w:kern w:val="0"/>
              </w:rPr>
              <w:t>2</w:t>
            </w:r>
            <w:r>
              <w:rPr>
                <w:rFonts w:hint="eastAsia" w:ascii="Calibri" w:hAnsi="Calibri" w:cs="宋体"/>
                <w:color w:val="000000"/>
                <w:kern w:val="0"/>
              </w:rPr>
              <w:t>，含非标准层铝模板；</w:t>
            </w:r>
          </w:p>
          <w:p>
            <w:pPr>
              <w:spacing w:line="360" w:lineRule="auto"/>
              <w:jc w:val="left"/>
              <w:rPr>
                <w:rFonts w:hint="eastAsia" w:ascii="Calibri" w:hAnsi="Calibri" w:eastAsiaTheme="minorEastAsia" w:cstheme="minorBidi"/>
                <w:kern w:val="2"/>
                <w:sz w:val="21"/>
                <w:szCs w:val="22"/>
                <w:lang w:val="en-US" w:eastAsia="zh-CN" w:bidi="ar-SA"/>
              </w:rPr>
            </w:pPr>
            <w:r>
              <w:rPr>
                <w:rFonts w:ascii="Calibri" w:hAnsi="Calibri" w:cs="宋体"/>
                <w:color w:val="000000"/>
                <w:kern w:val="0"/>
              </w:rPr>
              <w:t>3</w:t>
            </w:r>
            <w:r>
              <w:rPr>
                <w:rFonts w:hint="eastAsia" w:ascii="Calibri" w:hAnsi="Calibri" w:cs="宋体"/>
                <w:color w:val="000000"/>
                <w:kern w:val="0"/>
              </w:rPr>
              <w:t>，含各类拉片、销钉等五金配件</w:t>
            </w:r>
            <w:r>
              <w:rPr>
                <w:rFonts w:hint="eastAsia" w:ascii="Calibri" w:hAnsi="Calibri" w:cs="宋体"/>
                <w:color w:val="000000"/>
                <w:kern w:val="0"/>
                <w:lang w:eastAsia="zh-CN"/>
              </w:rPr>
              <w:t>。</w:t>
            </w:r>
          </w:p>
        </w:tc>
        <w:tc>
          <w:tcPr>
            <w:tcW w:w="735" w:type="dxa"/>
            <w:vMerge w:val="restart"/>
            <w:tcBorders>
              <w:top w:val="nil"/>
              <w:left w:val="nil"/>
              <w:right w:val="single" w:color="auto" w:sz="4" w:space="0"/>
            </w:tcBorders>
            <w:vAlign w:val="center"/>
          </w:tcPr>
          <w:p>
            <w:pPr>
              <w:spacing w:line="360" w:lineRule="auto"/>
              <w:ind w:firstLine="210" w:firstLineChars="100"/>
              <w:jc w:val="left"/>
              <w:rPr>
                <w:rFonts w:hint="default" w:ascii="Calibri" w:hAnsi="Calibri" w:eastAsiaTheme="minorEastAsia" w:cstheme="minorBidi"/>
                <w:kern w:val="0"/>
                <w:sz w:val="21"/>
                <w:szCs w:val="24"/>
                <w:lang w:val="en-US" w:eastAsia="zh-CN" w:bidi="ar-SA"/>
              </w:rPr>
            </w:pPr>
            <w:r>
              <w:rPr>
                <w:rFonts w:hint="eastAsia" w:ascii="Calibri" w:hAnsi="Calibri" w:cstheme="minorBidi"/>
                <w:kern w:val="0"/>
                <w:sz w:val="21"/>
                <w:szCs w:val="24"/>
                <w:lang w:val="en-US" w:eastAsia="zh-CN" w:bidi="ar-SA"/>
              </w:rPr>
              <w:t>套</w:t>
            </w:r>
          </w:p>
        </w:tc>
        <w:tc>
          <w:tcPr>
            <w:tcW w:w="651" w:type="dxa"/>
            <w:tcBorders>
              <w:top w:val="nil"/>
              <w:left w:val="nil"/>
              <w:bottom w:val="single" w:color="auto" w:sz="4" w:space="0"/>
              <w:right w:val="single" w:color="auto" w:sz="4" w:space="0"/>
            </w:tcBorders>
            <w:vAlign w:val="center"/>
          </w:tcPr>
          <w:p>
            <w:pPr>
              <w:widowControl/>
              <w:spacing w:line="360" w:lineRule="auto"/>
              <w:jc w:val="left"/>
              <w:rPr>
                <w:rFonts w:hint="default" w:ascii="Calibri" w:hAnsi="Calibri" w:cs="宋体" w:eastAsiaTheme="minorEastAsia"/>
                <w:color w:val="000000"/>
                <w:kern w:val="0"/>
                <w:lang w:val="en-US" w:eastAsia="zh-CN"/>
              </w:rPr>
            </w:pPr>
            <w:r>
              <w:rPr>
                <w:rFonts w:hint="eastAsia" w:ascii="Calibri" w:hAnsi="Calibri" w:cs="宋体"/>
                <w:color w:val="000000"/>
                <w:kern w:val="0"/>
                <w:lang w:val="en-US" w:eastAsia="zh-CN"/>
              </w:rPr>
              <w:t>10</w:t>
            </w:r>
          </w:p>
        </w:tc>
        <w:tc>
          <w:tcPr>
            <w:tcW w:w="1135" w:type="dxa"/>
            <w:vMerge w:val="restart"/>
            <w:tcBorders>
              <w:top w:val="nil"/>
              <w:left w:val="single" w:color="auto" w:sz="4" w:space="0"/>
              <w:right w:val="single" w:color="auto" w:sz="4" w:space="0"/>
            </w:tcBorders>
            <w:vAlign w:val="center"/>
          </w:tcPr>
          <w:p>
            <w:pPr>
              <w:spacing w:line="360" w:lineRule="auto"/>
              <w:jc w:val="left"/>
              <w:rPr>
                <w:rFonts w:hint="eastAsia" w:ascii="Calibri" w:hAnsi="Calibri" w:cs="宋体"/>
                <w:kern w:val="0"/>
              </w:rPr>
            </w:pPr>
            <w:r>
              <w:rPr>
                <w:rFonts w:hint="eastAsia" w:ascii="Calibri" w:hAnsi="Calibri" w:cs="宋体"/>
                <w:kern w:val="0"/>
              </w:rPr>
              <w:t>国内</w:t>
            </w:r>
            <w:r>
              <w:rPr>
                <w:rFonts w:hint="eastAsia" w:ascii="Calibri" w:hAnsi="Calibri" w:cs="宋体"/>
                <w:kern w:val="0"/>
                <w:lang w:val="en-US" w:eastAsia="zh-CN"/>
              </w:rPr>
              <w:t>工厂</w:t>
            </w:r>
          </w:p>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restart"/>
            <w:tcBorders>
              <w:top w:val="nil"/>
              <w:left w:val="single" w:color="auto" w:sz="4" w:space="0"/>
            </w:tcBorders>
            <w:vAlign w:val="center"/>
          </w:tcPr>
          <w:p>
            <w:pPr>
              <w:widowControl/>
              <w:spacing w:line="360" w:lineRule="auto"/>
              <w:jc w:val="left"/>
              <w:rPr>
                <w:rFonts w:ascii="Calibri" w:hAnsi="Calibri" w:cs="宋体"/>
                <w:color w:val="000000"/>
                <w:kern w:val="0"/>
              </w:rPr>
            </w:pPr>
            <w:r>
              <w:rPr>
                <w:rFonts w:hint="eastAsia" w:ascii="Calibri" w:hAnsi="Calibri" w:cs="宋体"/>
                <w:color w:val="000000"/>
                <w:kern w:val="0"/>
              </w:rPr>
              <w:t>符合各项质量</w:t>
            </w:r>
            <w:r>
              <w:rPr>
                <w:rFonts w:ascii="Calibri" w:hAnsi="Calibri" w:cs="宋体"/>
                <w:color w:val="000000"/>
                <w:kern w:val="0"/>
              </w:rPr>
              <w:t xml:space="preserve"> </w:t>
            </w:r>
            <w:r>
              <w:rPr>
                <w:rFonts w:hint="eastAsia" w:ascii="Calibri" w:hAnsi="Calibri" w:cs="宋体"/>
                <w:color w:val="000000"/>
                <w:kern w:val="0"/>
              </w:rPr>
              <w:t>、技术指标，应根据图纸编制本工程的技术方案，并提供给招标方确认最终方案。施工工地验收交货。</w:t>
            </w:r>
          </w:p>
          <w:p>
            <w:pPr>
              <w:widowControl/>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78" w:hRule="atLeast"/>
          <w:jc w:val="center"/>
        </w:trPr>
        <w:tc>
          <w:tcPr>
            <w:tcW w:w="800" w:type="dxa"/>
            <w:tcBorders>
              <w:top w:val="nil"/>
              <w:bottom w:val="single" w:color="auto" w:sz="4" w:space="0"/>
              <w:right w:val="single" w:color="auto" w:sz="4" w:space="0"/>
            </w:tcBorders>
            <w:vAlign w:val="center"/>
          </w:tcPr>
          <w:p>
            <w:pPr>
              <w:widowControl/>
              <w:spacing w:line="360" w:lineRule="auto"/>
              <w:ind w:firstLine="420" w:firstLineChars="200"/>
              <w:jc w:val="left"/>
              <w:rPr>
                <w:rFonts w:hint="eastAsia" w:ascii="Calibri" w:hAnsi="Calibri" w:eastAsiaTheme="minorEastAsia"/>
                <w:kern w:val="0"/>
                <w:lang w:val="en-US" w:eastAsia="zh-CN"/>
              </w:rPr>
            </w:pPr>
            <w:r>
              <w:rPr>
                <w:rFonts w:hint="eastAsia" w:ascii="Calibri" w:hAnsi="Calibri"/>
                <w:kern w:val="0"/>
                <w:lang w:val="en-US" w:eastAsia="zh-CN"/>
              </w:rPr>
              <w:t>2</w:t>
            </w:r>
          </w:p>
        </w:tc>
        <w:tc>
          <w:tcPr>
            <w:tcW w:w="1092" w:type="dxa"/>
            <w:tcBorders>
              <w:top w:val="nil"/>
              <w:left w:val="nil"/>
              <w:bottom w:val="single" w:color="auto" w:sz="4" w:space="0"/>
              <w:right w:val="single" w:color="auto" w:sz="4" w:space="0"/>
            </w:tcBorders>
            <w:vAlign w:val="center"/>
          </w:tcPr>
          <w:p>
            <w:pPr>
              <w:spacing w:line="360" w:lineRule="auto"/>
              <w:jc w:val="left"/>
              <w:rPr>
                <w:rFonts w:hint="default" w:ascii="Calibri" w:hAnsi="Calibri" w:cs="宋体" w:eastAsiaTheme="minorEastAsia"/>
                <w:color w:val="000000"/>
                <w:kern w:val="0"/>
                <w:sz w:val="21"/>
                <w:szCs w:val="24"/>
                <w:lang w:val="en-US" w:eastAsia="zh-CN" w:bidi="ar-SA"/>
              </w:rPr>
            </w:pPr>
            <w:r>
              <w:rPr>
                <w:rFonts w:hint="eastAsia" w:ascii="Calibri" w:hAnsi="Calibri" w:cs="宋体"/>
                <w:color w:val="000000"/>
                <w:kern w:val="0"/>
              </w:rPr>
              <w:t>铝合金模板</w:t>
            </w:r>
            <w:r>
              <w:rPr>
                <w:rFonts w:hint="eastAsia" w:ascii="Calibri" w:hAnsi="Calibri" w:cs="宋体"/>
                <w:color w:val="000000"/>
                <w:kern w:val="0"/>
                <w:lang w:val="en-US" w:eastAsia="zh-CN"/>
              </w:rPr>
              <w:t>-梁、板膜</w:t>
            </w:r>
          </w:p>
        </w:tc>
        <w:tc>
          <w:tcPr>
            <w:tcW w:w="1164" w:type="dxa"/>
            <w:vMerge w:val="continue"/>
            <w:tcBorders>
              <w:left w:val="nil"/>
              <w:right w:val="single" w:color="auto" w:sz="4" w:space="0"/>
            </w:tcBorders>
            <w:vAlign w:val="center"/>
          </w:tcPr>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continue"/>
            <w:tcBorders>
              <w:left w:val="single" w:color="auto" w:sz="4" w:space="0"/>
              <w:right w:val="single" w:color="auto" w:sz="4" w:space="0"/>
            </w:tcBorders>
            <w:vAlign w:val="center"/>
          </w:tcPr>
          <w:p>
            <w:pPr>
              <w:spacing w:line="360" w:lineRule="auto"/>
              <w:jc w:val="left"/>
              <w:rPr>
                <w:rFonts w:hint="eastAsia" w:ascii="Calibri" w:hAnsi="Calibri" w:eastAsiaTheme="minorEastAsia" w:cstheme="minorBidi"/>
                <w:kern w:val="2"/>
                <w:sz w:val="21"/>
                <w:szCs w:val="22"/>
                <w:lang w:val="en-US" w:eastAsia="zh-CN" w:bidi="ar-SA"/>
              </w:rPr>
            </w:pPr>
          </w:p>
        </w:tc>
        <w:tc>
          <w:tcPr>
            <w:tcW w:w="735" w:type="dxa"/>
            <w:vMerge w:val="continue"/>
            <w:tcBorders>
              <w:left w:val="nil"/>
              <w:right w:val="single" w:color="auto" w:sz="4" w:space="0"/>
            </w:tcBorders>
            <w:vAlign w:val="center"/>
          </w:tcPr>
          <w:p>
            <w:pPr>
              <w:spacing w:line="360" w:lineRule="auto"/>
              <w:jc w:val="left"/>
              <w:rPr>
                <w:rFonts w:hint="eastAsia" w:ascii="Calibri" w:hAnsi="Calibri" w:eastAsiaTheme="minorEastAsia" w:cstheme="minorBidi"/>
                <w:kern w:val="0"/>
                <w:sz w:val="21"/>
                <w:szCs w:val="24"/>
                <w:lang w:val="en-US" w:eastAsia="zh-CN" w:bidi="ar-SA"/>
              </w:rPr>
            </w:pPr>
          </w:p>
        </w:tc>
        <w:tc>
          <w:tcPr>
            <w:tcW w:w="651" w:type="dxa"/>
            <w:tcBorders>
              <w:top w:val="nil"/>
              <w:left w:val="nil"/>
              <w:bottom w:val="single" w:color="auto" w:sz="4" w:space="0"/>
              <w:right w:val="single" w:color="auto" w:sz="4" w:space="0"/>
            </w:tcBorders>
            <w:vAlign w:val="center"/>
          </w:tcPr>
          <w:p>
            <w:pPr>
              <w:widowControl/>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lang w:val="en-US" w:eastAsia="zh-CN"/>
              </w:rPr>
              <w:t>20</w:t>
            </w:r>
          </w:p>
        </w:tc>
        <w:tc>
          <w:tcPr>
            <w:tcW w:w="1135" w:type="dxa"/>
            <w:vMerge w:val="continue"/>
            <w:tcBorders>
              <w:left w:val="single" w:color="auto" w:sz="4" w:space="0"/>
              <w:right w:val="single" w:color="auto" w:sz="4" w:space="0"/>
            </w:tcBorders>
            <w:vAlign w:val="center"/>
          </w:tcPr>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continue"/>
            <w:tcBorders>
              <w:left w:val="single" w:color="auto" w:sz="4" w:space="0"/>
            </w:tcBorders>
            <w:vAlign w:val="center"/>
          </w:tcPr>
          <w:p>
            <w:pPr>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822" w:hRule="atLeast"/>
          <w:jc w:val="center"/>
        </w:trPr>
        <w:tc>
          <w:tcPr>
            <w:tcW w:w="800" w:type="dxa"/>
            <w:tcBorders>
              <w:top w:val="nil"/>
              <w:bottom w:val="single" w:color="auto" w:sz="4" w:space="0"/>
              <w:right w:val="single" w:color="auto" w:sz="4" w:space="0"/>
            </w:tcBorders>
            <w:vAlign w:val="center"/>
          </w:tcPr>
          <w:p>
            <w:pPr>
              <w:widowControl/>
              <w:spacing w:line="360" w:lineRule="auto"/>
              <w:ind w:firstLine="420" w:firstLineChars="200"/>
              <w:jc w:val="left"/>
              <w:rPr>
                <w:rFonts w:hint="default" w:ascii="Calibri" w:hAnsi="Calibri"/>
                <w:kern w:val="0"/>
                <w:lang w:val="en-US" w:eastAsia="zh-CN"/>
              </w:rPr>
            </w:pPr>
            <w:r>
              <w:rPr>
                <w:rFonts w:hint="eastAsia" w:ascii="Calibri" w:hAnsi="Calibri"/>
                <w:kern w:val="0"/>
                <w:lang w:val="en-US" w:eastAsia="zh-CN"/>
              </w:rPr>
              <w:t>3</w:t>
            </w:r>
          </w:p>
        </w:tc>
        <w:tc>
          <w:tcPr>
            <w:tcW w:w="1092" w:type="dxa"/>
            <w:tcBorders>
              <w:top w:val="nil"/>
              <w:left w:val="nil"/>
              <w:bottom w:val="single" w:color="auto" w:sz="4" w:space="0"/>
              <w:right w:val="single" w:color="auto" w:sz="4" w:space="0"/>
            </w:tcBorders>
            <w:vAlign w:val="center"/>
          </w:tcPr>
          <w:p>
            <w:pPr>
              <w:spacing w:line="360" w:lineRule="auto"/>
              <w:jc w:val="left"/>
              <w:rPr>
                <w:rFonts w:hint="default" w:ascii="Calibri" w:hAnsi="Calibri" w:cs="宋体" w:eastAsiaTheme="minorEastAsia"/>
                <w:color w:val="000000"/>
                <w:kern w:val="0"/>
                <w:sz w:val="21"/>
                <w:szCs w:val="24"/>
                <w:lang w:val="en-US" w:eastAsia="zh-CN" w:bidi="ar-SA"/>
              </w:rPr>
            </w:pPr>
            <w:r>
              <w:rPr>
                <w:rFonts w:hint="eastAsia" w:ascii="Calibri" w:hAnsi="Calibri" w:cs="宋体"/>
                <w:color w:val="000000"/>
                <w:kern w:val="0"/>
              </w:rPr>
              <w:t>铝合金模板</w:t>
            </w:r>
            <w:r>
              <w:rPr>
                <w:rFonts w:hint="eastAsia" w:ascii="Calibri" w:hAnsi="Calibri" w:cs="宋体"/>
                <w:color w:val="000000"/>
                <w:kern w:val="0"/>
                <w:lang w:val="en-US" w:eastAsia="zh-CN"/>
              </w:rPr>
              <w:t>-梁、板支撑</w:t>
            </w:r>
          </w:p>
        </w:tc>
        <w:tc>
          <w:tcPr>
            <w:tcW w:w="1164" w:type="dxa"/>
            <w:vMerge w:val="continue"/>
            <w:tcBorders>
              <w:left w:val="nil"/>
              <w:bottom w:val="single" w:color="auto" w:sz="4" w:space="0"/>
              <w:right w:val="single" w:color="auto" w:sz="4" w:space="0"/>
            </w:tcBorders>
            <w:vAlign w:val="center"/>
          </w:tcPr>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continue"/>
            <w:tcBorders>
              <w:left w:val="single" w:color="auto" w:sz="4" w:space="0"/>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2"/>
                <w:sz w:val="21"/>
                <w:szCs w:val="22"/>
                <w:lang w:val="en-US" w:eastAsia="zh-CN" w:bidi="ar-SA"/>
              </w:rPr>
            </w:pPr>
          </w:p>
        </w:tc>
        <w:tc>
          <w:tcPr>
            <w:tcW w:w="735" w:type="dxa"/>
            <w:vMerge w:val="continue"/>
            <w:tcBorders>
              <w:left w:val="nil"/>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0"/>
                <w:sz w:val="21"/>
                <w:szCs w:val="24"/>
                <w:lang w:val="en-US" w:eastAsia="zh-CN" w:bidi="ar-SA"/>
              </w:rPr>
            </w:pPr>
          </w:p>
        </w:tc>
        <w:tc>
          <w:tcPr>
            <w:tcW w:w="651" w:type="dxa"/>
            <w:tcBorders>
              <w:top w:val="nil"/>
              <w:left w:val="nil"/>
              <w:bottom w:val="single" w:color="auto" w:sz="4" w:space="0"/>
              <w:right w:val="single" w:color="auto" w:sz="4" w:space="0"/>
            </w:tcBorders>
            <w:vAlign w:val="center"/>
          </w:tcPr>
          <w:p>
            <w:pPr>
              <w:widowControl/>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lang w:val="en-US" w:eastAsia="zh-CN"/>
              </w:rPr>
              <w:t>20</w:t>
            </w:r>
          </w:p>
        </w:tc>
        <w:tc>
          <w:tcPr>
            <w:tcW w:w="1135" w:type="dxa"/>
            <w:vMerge w:val="continue"/>
            <w:tcBorders>
              <w:left w:val="single" w:color="auto" w:sz="4" w:space="0"/>
              <w:right w:val="single" w:color="auto" w:sz="4" w:space="0"/>
            </w:tcBorders>
            <w:vAlign w:val="center"/>
          </w:tcPr>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continue"/>
            <w:tcBorders>
              <w:left w:val="single" w:color="auto" w:sz="4" w:space="0"/>
            </w:tcBorders>
            <w:vAlign w:val="center"/>
          </w:tcPr>
          <w:p>
            <w:pPr>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1208" w:hRule="atLeast"/>
          <w:jc w:val="center"/>
        </w:trPr>
        <w:tc>
          <w:tcPr>
            <w:tcW w:w="800" w:type="dxa"/>
            <w:tcBorders>
              <w:top w:val="single" w:color="auto" w:sz="4" w:space="0"/>
              <w:bottom w:val="single" w:color="auto" w:sz="4" w:space="0"/>
              <w:right w:val="single" w:color="auto" w:sz="4" w:space="0"/>
            </w:tcBorders>
            <w:vAlign w:val="center"/>
          </w:tcPr>
          <w:p>
            <w:pPr>
              <w:widowControl/>
              <w:spacing w:line="360" w:lineRule="auto"/>
              <w:ind w:firstLine="420" w:firstLineChars="200"/>
              <w:jc w:val="left"/>
              <w:rPr>
                <w:rFonts w:hint="default" w:ascii="Calibri" w:hAnsi="Calibri"/>
                <w:kern w:val="0"/>
                <w:lang w:val="en-US" w:eastAsia="zh-CN"/>
              </w:rPr>
            </w:pPr>
            <w:r>
              <w:rPr>
                <w:rFonts w:hint="eastAsia" w:ascii="Calibri" w:hAnsi="Calibri"/>
                <w:kern w:val="0"/>
                <w:lang w:val="en-US" w:eastAsia="zh-CN"/>
              </w:rPr>
              <w:t>4</w:t>
            </w:r>
          </w:p>
        </w:tc>
        <w:tc>
          <w:tcPr>
            <w:tcW w:w="1092" w:type="dxa"/>
            <w:tcBorders>
              <w:top w:val="single" w:color="auto" w:sz="4" w:space="0"/>
              <w:left w:val="nil"/>
              <w:bottom w:val="single" w:color="auto" w:sz="4" w:space="0"/>
              <w:right w:val="single" w:color="auto" w:sz="4" w:space="0"/>
            </w:tcBorders>
            <w:vAlign w:val="center"/>
          </w:tcPr>
          <w:p>
            <w:pPr>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rPr>
              <w:t>铝合金模板</w:t>
            </w:r>
            <w:r>
              <w:rPr>
                <w:rFonts w:hint="eastAsia" w:ascii="Calibri" w:hAnsi="Calibri" w:cs="宋体"/>
                <w:color w:val="000000"/>
                <w:kern w:val="0"/>
                <w:lang w:val="en-US" w:eastAsia="zh-CN"/>
              </w:rPr>
              <w:t>-墙支撑</w:t>
            </w:r>
          </w:p>
        </w:tc>
        <w:tc>
          <w:tcPr>
            <w:tcW w:w="1164" w:type="dxa"/>
            <w:vMerge w:val="continue"/>
            <w:tcBorders>
              <w:top w:val="single" w:color="auto" w:sz="4" w:space="0"/>
              <w:left w:val="nil"/>
              <w:bottom w:val="single" w:color="auto" w:sz="4" w:space="0"/>
              <w:right w:val="single" w:color="auto" w:sz="4" w:space="0"/>
            </w:tcBorders>
            <w:vAlign w:val="center"/>
          </w:tcPr>
          <w:p>
            <w:pPr>
              <w:spacing w:line="360" w:lineRule="auto"/>
              <w:ind w:firstLine="420" w:firstLineChars="200"/>
              <w:jc w:val="left"/>
              <w:rPr>
                <w:rFonts w:ascii="Calibri" w:hAnsi="Calibri" w:cs="宋体" w:eastAsiaTheme="minorEastAsia"/>
                <w:color w:val="000000"/>
                <w:kern w:val="0"/>
                <w:sz w:val="21"/>
                <w:szCs w:val="24"/>
                <w:lang w:val="en-US" w:eastAsia="zh-CN" w:bidi="ar-SA"/>
              </w:rPr>
            </w:pPr>
          </w:p>
        </w:tc>
        <w:tc>
          <w:tcPr>
            <w:tcW w:w="2215" w:type="dxa"/>
            <w:vMerge w:val="continue"/>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2"/>
                <w:sz w:val="21"/>
                <w:szCs w:val="22"/>
                <w:lang w:val="en-US" w:eastAsia="zh-CN" w:bidi="ar-SA"/>
              </w:rPr>
            </w:pPr>
          </w:p>
        </w:tc>
        <w:tc>
          <w:tcPr>
            <w:tcW w:w="735" w:type="dxa"/>
            <w:vMerge w:val="continue"/>
            <w:tcBorders>
              <w:top w:val="single" w:color="auto" w:sz="4" w:space="0"/>
              <w:left w:val="nil"/>
              <w:bottom w:val="single" w:color="auto" w:sz="4" w:space="0"/>
              <w:right w:val="single" w:color="auto" w:sz="4" w:space="0"/>
            </w:tcBorders>
            <w:vAlign w:val="center"/>
          </w:tcPr>
          <w:p>
            <w:pPr>
              <w:spacing w:line="360" w:lineRule="auto"/>
              <w:jc w:val="left"/>
              <w:rPr>
                <w:rFonts w:hint="eastAsia" w:ascii="Calibri" w:hAnsi="Calibri" w:eastAsiaTheme="minorEastAsia" w:cstheme="minorBidi"/>
                <w:kern w:val="0"/>
                <w:sz w:val="21"/>
                <w:szCs w:val="24"/>
                <w:lang w:val="en-US" w:eastAsia="zh-CN" w:bidi="ar-SA"/>
              </w:rPr>
            </w:pPr>
          </w:p>
        </w:tc>
        <w:tc>
          <w:tcPr>
            <w:tcW w:w="651" w:type="dxa"/>
            <w:tcBorders>
              <w:top w:val="single" w:color="auto" w:sz="4" w:space="0"/>
              <w:left w:val="nil"/>
              <w:bottom w:val="single" w:color="auto" w:sz="4" w:space="0"/>
              <w:right w:val="single" w:color="auto" w:sz="4" w:space="0"/>
            </w:tcBorders>
            <w:vAlign w:val="center"/>
          </w:tcPr>
          <w:p>
            <w:pPr>
              <w:widowControl/>
              <w:spacing w:line="360" w:lineRule="auto"/>
              <w:jc w:val="left"/>
              <w:rPr>
                <w:rFonts w:hint="eastAsia" w:ascii="Calibri" w:hAnsi="Calibri" w:cs="宋体" w:eastAsiaTheme="minorEastAsia"/>
                <w:color w:val="000000"/>
                <w:kern w:val="0"/>
                <w:sz w:val="21"/>
                <w:szCs w:val="24"/>
                <w:lang w:val="en-US" w:eastAsia="zh-CN" w:bidi="ar-SA"/>
              </w:rPr>
            </w:pPr>
            <w:r>
              <w:rPr>
                <w:rFonts w:hint="eastAsia" w:ascii="Calibri" w:hAnsi="Calibri" w:cs="宋体"/>
                <w:color w:val="000000"/>
                <w:kern w:val="0"/>
                <w:lang w:val="en-US" w:eastAsia="zh-CN"/>
              </w:rPr>
              <w:t>10</w:t>
            </w:r>
          </w:p>
        </w:tc>
        <w:tc>
          <w:tcPr>
            <w:tcW w:w="1135" w:type="dxa"/>
            <w:vMerge w:val="continue"/>
            <w:tcBorders>
              <w:left w:val="single" w:color="auto" w:sz="4" w:space="0"/>
              <w:bottom w:val="single" w:color="auto" w:sz="4" w:space="0"/>
              <w:right w:val="single" w:color="auto" w:sz="4" w:space="0"/>
            </w:tcBorders>
            <w:vAlign w:val="center"/>
          </w:tcPr>
          <w:p>
            <w:pPr>
              <w:spacing w:line="360" w:lineRule="auto"/>
              <w:jc w:val="left"/>
              <w:rPr>
                <w:rFonts w:hint="eastAsia" w:ascii="Calibri" w:hAnsi="Calibri" w:cs="宋体" w:eastAsiaTheme="minorEastAsia"/>
                <w:kern w:val="0"/>
                <w:sz w:val="21"/>
                <w:szCs w:val="24"/>
                <w:lang w:val="en-US" w:eastAsia="zh-CN" w:bidi="ar-SA"/>
              </w:rPr>
            </w:pPr>
          </w:p>
        </w:tc>
        <w:tc>
          <w:tcPr>
            <w:tcW w:w="2008" w:type="dxa"/>
            <w:vMerge w:val="continue"/>
            <w:tcBorders>
              <w:left w:val="single" w:color="auto" w:sz="4" w:space="0"/>
              <w:bottom w:val="single" w:color="auto" w:sz="4" w:space="0"/>
            </w:tcBorders>
            <w:vAlign w:val="center"/>
          </w:tcPr>
          <w:p>
            <w:pPr>
              <w:spacing w:line="360" w:lineRule="auto"/>
              <w:jc w:val="left"/>
              <w:rPr>
                <w:rFonts w:ascii="Calibri" w:hAnsi="Calibri" w:cs="宋体" w:eastAsiaTheme="minorEastAsia"/>
                <w:color w:val="000000"/>
                <w:kern w:val="0"/>
                <w:sz w:val="21"/>
                <w:szCs w:val="24"/>
                <w:lang w:val="en-US" w:eastAsia="zh-CN" w:bidi="ar-SA"/>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8" w:type="dxa"/>
            <w:bottom w:w="0" w:type="dxa"/>
            <w:right w:w="108" w:type="dxa"/>
          </w:tblCellMar>
        </w:tblPrEx>
        <w:trPr>
          <w:trHeight w:val="823" w:hRule="atLeast"/>
          <w:jc w:val="center"/>
        </w:trPr>
        <w:tc>
          <w:tcPr>
            <w:tcW w:w="800" w:type="dxa"/>
            <w:tcBorders>
              <w:top w:val="single" w:color="auto" w:sz="4" w:space="0"/>
              <w:right w:val="single" w:color="auto" w:sz="4" w:space="0"/>
            </w:tcBorders>
            <w:vAlign w:val="center"/>
          </w:tcPr>
          <w:p>
            <w:pPr>
              <w:pStyle w:val="15"/>
              <w:spacing w:line="360" w:lineRule="auto"/>
              <w:ind w:left="0" w:leftChars="0" w:firstLine="0" w:firstLineChars="0"/>
              <w:jc w:val="left"/>
              <w:rPr>
                <w:sz w:val="21"/>
                <w:szCs w:val="21"/>
              </w:rPr>
            </w:pPr>
            <w:r>
              <w:rPr>
                <w:rFonts w:hint="eastAsia" w:ascii="Calibri" w:hAnsi="Calibri" w:cs="宋体"/>
                <w:b/>
                <w:bCs/>
                <w:kern w:val="0"/>
                <w:sz w:val="21"/>
                <w:szCs w:val="21"/>
              </w:rPr>
              <w:t>合计</w:t>
            </w:r>
          </w:p>
        </w:tc>
        <w:tc>
          <w:tcPr>
            <w:tcW w:w="5206" w:type="dxa"/>
            <w:gridSpan w:val="4"/>
            <w:tcBorders>
              <w:top w:val="single" w:color="auto" w:sz="4" w:space="0"/>
              <w:left w:val="nil"/>
              <w:right w:val="single" w:color="auto" w:sz="4" w:space="0"/>
            </w:tcBorders>
            <w:vAlign w:val="center"/>
          </w:tcPr>
          <w:p>
            <w:pPr>
              <w:widowControl/>
              <w:spacing w:line="360" w:lineRule="auto"/>
              <w:ind w:firstLine="420" w:firstLineChars="200"/>
              <w:jc w:val="left"/>
              <w:rPr>
                <w:rFonts w:ascii="Calibri" w:hAnsi="Calibri" w:cs="宋体"/>
                <w:kern w:val="0"/>
              </w:rPr>
            </w:pPr>
          </w:p>
        </w:tc>
        <w:tc>
          <w:tcPr>
            <w:tcW w:w="651" w:type="dxa"/>
            <w:tcBorders>
              <w:top w:val="single" w:color="auto" w:sz="4" w:space="0"/>
              <w:left w:val="nil"/>
              <w:right w:val="single" w:color="auto" w:sz="4" w:space="0"/>
            </w:tcBorders>
            <w:vAlign w:val="center"/>
          </w:tcPr>
          <w:p>
            <w:pPr>
              <w:widowControl/>
              <w:spacing w:line="360" w:lineRule="auto"/>
              <w:jc w:val="left"/>
              <w:rPr>
                <w:rFonts w:hint="default" w:ascii="Calibri" w:hAnsi="Calibri" w:eastAsiaTheme="minorEastAsia"/>
                <w:kern w:val="0"/>
                <w:lang w:val="en-US" w:eastAsia="zh-CN"/>
              </w:rPr>
            </w:pPr>
            <w:r>
              <w:rPr>
                <w:rFonts w:hint="eastAsia" w:ascii="Calibri" w:hAnsi="Calibri"/>
                <w:kern w:val="0"/>
                <w:lang w:val="en-US" w:eastAsia="zh-CN"/>
              </w:rPr>
              <w:t>60</w:t>
            </w:r>
          </w:p>
        </w:tc>
        <w:tc>
          <w:tcPr>
            <w:tcW w:w="3143" w:type="dxa"/>
            <w:gridSpan w:val="2"/>
            <w:tcBorders>
              <w:top w:val="nil"/>
              <w:left w:val="nil"/>
            </w:tcBorders>
            <w:vAlign w:val="center"/>
          </w:tcPr>
          <w:p>
            <w:pPr>
              <w:widowControl/>
              <w:spacing w:line="360" w:lineRule="auto"/>
              <w:ind w:firstLine="420" w:firstLineChars="200"/>
              <w:jc w:val="left"/>
              <w:rPr>
                <w:rFonts w:ascii="Calibri" w:hAnsi="Calibri" w:cs="宋体"/>
                <w:kern w:val="0"/>
                <w:szCs w:val="22"/>
              </w:rPr>
            </w:pPr>
          </w:p>
        </w:tc>
      </w:tr>
    </w:tbl>
    <w:p>
      <w:pPr>
        <w:pStyle w:val="15"/>
        <w:rPr>
          <w:rFonts w:hint="eastAsia" w:asciiTheme="minorEastAsia" w:hAnsiTheme="minorEastAsia"/>
          <w:szCs w:val="21"/>
        </w:rPr>
      </w:pPr>
    </w:p>
    <w:p>
      <w:pPr>
        <w:spacing w:line="360" w:lineRule="auto"/>
        <w:ind w:firstLine="420" w:firstLineChars="200"/>
        <w:rPr>
          <w:rFonts w:ascii="Calibri" w:hAnsi="Calibri" w:cs="宋体"/>
          <w:szCs w:val="21"/>
        </w:rPr>
      </w:pPr>
      <w:r>
        <w:rPr>
          <w:rFonts w:hint="eastAsia" w:ascii="Calibri" w:hAnsi="Calibri" w:cs="宋体"/>
          <w:szCs w:val="21"/>
        </w:rPr>
        <w:t>备注：</w:t>
      </w:r>
    </w:p>
    <w:p>
      <w:pPr>
        <w:spacing w:line="360" w:lineRule="auto"/>
        <w:ind w:firstLine="420" w:firstLineChars="200"/>
        <w:rPr>
          <w:rFonts w:hint="eastAsia" w:ascii="Calibri" w:hAnsi="Calibri" w:cs="宋体"/>
          <w:szCs w:val="21"/>
        </w:rPr>
      </w:pPr>
      <w:r>
        <w:rPr>
          <w:rFonts w:hint="eastAsia" w:ascii="Calibri" w:hAnsi="Calibri" w:cs="宋体"/>
          <w:szCs w:val="21"/>
        </w:rPr>
        <w:t>1,以上铝合金模板系统综合单价含支撑系统、方通扣、斜撑、PVC拉片套管、</w:t>
      </w:r>
      <w:r>
        <w:rPr>
          <w:rFonts w:hint="eastAsia" w:ascii="Calibri" w:hAnsi="Calibri" w:cs="宋体"/>
          <w:szCs w:val="21"/>
          <w:lang w:val="en-US" w:eastAsia="zh-CN"/>
        </w:rPr>
        <w:t>拉片</w:t>
      </w:r>
      <w:r>
        <w:rPr>
          <w:rFonts w:hint="eastAsia" w:ascii="Calibri" w:hAnsi="Calibri" w:cs="宋体"/>
          <w:szCs w:val="21"/>
        </w:rPr>
        <w:t>专用套管等。</w:t>
      </w:r>
    </w:p>
    <w:p>
      <w:pPr>
        <w:spacing w:line="360" w:lineRule="auto"/>
        <w:ind w:firstLine="420" w:firstLineChars="200"/>
        <w:rPr>
          <w:rFonts w:ascii="Calibri" w:hAnsi="Calibri" w:eastAsia="宋体" w:cs="宋体"/>
          <w:szCs w:val="21"/>
        </w:rPr>
      </w:pPr>
      <w:r>
        <w:rPr>
          <w:rFonts w:hint="eastAsia" w:ascii="Calibri" w:hAnsi="Calibri" w:cs="宋体"/>
          <w:szCs w:val="21"/>
          <w:lang w:val="en-US" w:eastAsia="zh-CN"/>
        </w:rPr>
        <w:t>2</w:t>
      </w:r>
      <w:r>
        <w:rPr>
          <w:rFonts w:hint="eastAsia" w:ascii="Calibri" w:hAnsi="Calibri" w:cs="宋体"/>
          <w:szCs w:val="21"/>
        </w:rPr>
        <w:t>,以上单价包含新增铝模板部分一层的配件（包含方通、背楞、可重复性拉片、山型螺母、销钉、销片、K板螺丝和螺母等。销钉、销片，可重复性拉片套管</w:t>
      </w:r>
      <w:r>
        <w:rPr>
          <w:rFonts w:hint="eastAsia" w:ascii="Calibri" w:hAnsi="Calibri" w:cs="宋体"/>
          <w:szCs w:val="21"/>
          <w:lang w:val="en-US" w:eastAsia="zh-CN"/>
        </w:rPr>
        <w:t>等</w:t>
      </w:r>
      <w:r>
        <w:rPr>
          <w:rFonts w:hint="eastAsia" w:ascii="Calibri" w:hAnsi="Calibri" w:cs="宋体"/>
          <w:szCs w:val="21"/>
        </w:rPr>
        <w:t>按</w:t>
      </w:r>
      <w:r>
        <w:rPr>
          <w:rFonts w:hint="eastAsia" w:ascii="Calibri" w:hAnsi="Calibri" w:cs="宋体"/>
          <w:b/>
          <w:bCs/>
          <w:szCs w:val="21"/>
          <w:lang w:val="en-US" w:eastAsia="zh-CN"/>
        </w:rPr>
        <w:t>2</w:t>
      </w:r>
      <w:r>
        <w:rPr>
          <w:rFonts w:hint="eastAsia" w:ascii="Calibri" w:hAnsi="Calibri" w:cs="宋体"/>
          <w:b/>
          <w:bCs/>
          <w:szCs w:val="21"/>
        </w:rPr>
        <w:t>0%</w:t>
      </w:r>
      <w:r>
        <w:rPr>
          <w:rFonts w:hint="eastAsia" w:ascii="Calibri" w:hAnsi="Calibri" w:cs="宋体"/>
          <w:szCs w:val="21"/>
        </w:rPr>
        <w:t>损耗预留；其余配件不含损耗）。</w:t>
      </w:r>
    </w:p>
    <w:p>
      <w:pPr>
        <w:spacing w:line="360" w:lineRule="auto"/>
        <w:ind w:firstLine="420" w:firstLineChars="200"/>
        <w:rPr>
          <w:rFonts w:ascii="Calibri" w:hAnsi="Calibri" w:cs="宋体"/>
          <w:szCs w:val="21"/>
        </w:rPr>
      </w:pPr>
      <w:r>
        <w:rPr>
          <w:rFonts w:hint="eastAsia" w:ascii="Calibri" w:hAnsi="Calibri" w:cs="宋体"/>
          <w:szCs w:val="21"/>
        </w:rPr>
        <w:t>3,以上合计金额为预算铝模板展开面积计算金额，实际结算金额按双方确认实际铝模板展开面积结算。</w:t>
      </w:r>
    </w:p>
    <w:p>
      <w:pPr>
        <w:spacing w:line="360" w:lineRule="auto"/>
        <w:ind w:firstLine="420" w:firstLineChars="200"/>
        <w:rPr>
          <w:rFonts w:ascii="Calibri" w:hAnsi="Calibri" w:cs="宋体"/>
          <w:szCs w:val="21"/>
        </w:rPr>
      </w:pPr>
      <w:r>
        <w:rPr>
          <w:rFonts w:hint="eastAsia" w:ascii="Calibri" w:hAnsi="Calibri" w:cs="宋体"/>
          <w:szCs w:val="21"/>
          <w:lang w:val="en-US" w:eastAsia="zh-CN"/>
        </w:rPr>
        <w:t>4</w:t>
      </w:r>
      <w:r>
        <w:rPr>
          <w:rFonts w:hint="eastAsia" w:ascii="Calibri" w:hAnsi="Calibri" w:cs="宋体"/>
          <w:szCs w:val="21"/>
        </w:rPr>
        <w:t>,该系统模板加工图纸应与买方及其业主方充分沟通协调并得到批准后方可进行生产，此部分费用应包含在合同价款中。</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技术标准：</w:t>
      </w:r>
    </w:p>
    <w:p>
      <w:pPr>
        <w:spacing w:line="360" w:lineRule="auto"/>
        <w:ind w:firstLine="420" w:firstLineChars="200"/>
        <w:rPr>
          <w:rFonts w:hint="eastAsia"/>
        </w:rPr>
      </w:pPr>
      <w:r>
        <w:rPr>
          <w:rFonts w:hint="eastAsia"/>
        </w:rPr>
        <w:t>（1）《铝合金建筑型材》GB/T5237；</w:t>
      </w:r>
    </w:p>
    <w:p>
      <w:pPr>
        <w:spacing w:line="360" w:lineRule="auto"/>
        <w:ind w:firstLine="420" w:firstLineChars="200"/>
        <w:rPr>
          <w:rFonts w:hint="eastAsia"/>
        </w:rPr>
      </w:pPr>
      <w:r>
        <w:rPr>
          <w:rFonts w:hint="eastAsia"/>
        </w:rPr>
        <w:t>（2）《一般工业用铝及铝合金挤压型材》GB/T6892；</w:t>
      </w:r>
    </w:p>
    <w:p>
      <w:pPr>
        <w:spacing w:line="360" w:lineRule="auto"/>
        <w:ind w:firstLine="420" w:firstLineChars="200"/>
        <w:rPr>
          <w:rFonts w:hint="eastAsia"/>
        </w:rPr>
      </w:pPr>
      <w:r>
        <w:rPr>
          <w:rFonts w:hint="eastAsia"/>
        </w:rPr>
        <w:t>（3）《变形铝及铝合金化学成份》GB/T3190；</w:t>
      </w:r>
    </w:p>
    <w:p>
      <w:pPr>
        <w:spacing w:line="360" w:lineRule="auto"/>
        <w:ind w:firstLine="420" w:firstLineChars="200"/>
        <w:rPr>
          <w:rFonts w:hint="eastAsia"/>
        </w:rPr>
      </w:pPr>
      <w:r>
        <w:rPr>
          <w:rFonts w:hint="eastAsia"/>
        </w:rPr>
        <w:t>（4）《建筑模数协调标准》GB/T50002-2013；</w:t>
      </w:r>
    </w:p>
    <w:p>
      <w:pPr>
        <w:spacing w:line="360" w:lineRule="auto"/>
        <w:ind w:firstLine="420" w:firstLineChars="200"/>
        <w:rPr>
          <w:rFonts w:hint="eastAsia"/>
        </w:rPr>
      </w:pPr>
      <w:r>
        <w:rPr>
          <w:rFonts w:hint="eastAsia"/>
        </w:rPr>
        <w:t>（5）《铝合金模板》JG/T522-2017；</w:t>
      </w:r>
    </w:p>
    <w:p>
      <w:pPr>
        <w:spacing w:line="360" w:lineRule="auto"/>
        <w:ind w:firstLine="420" w:firstLineChars="200"/>
        <w:rPr>
          <w:rFonts w:hint="eastAsia"/>
        </w:rPr>
      </w:pPr>
      <w:r>
        <w:rPr>
          <w:rFonts w:hint="eastAsia"/>
        </w:rPr>
        <w:t>（6）《铝合金结构设计规范》GB50429；</w:t>
      </w:r>
    </w:p>
    <w:p>
      <w:pPr>
        <w:spacing w:line="360" w:lineRule="auto"/>
        <w:ind w:firstLine="420" w:firstLineChars="200"/>
        <w:rPr>
          <w:rFonts w:hint="eastAsia"/>
        </w:rPr>
      </w:pPr>
      <w:r>
        <w:rPr>
          <w:rFonts w:hint="eastAsia"/>
        </w:rPr>
        <w:t>（7）《组合铝合金模板工程技术规程》JGJ386-2016；</w:t>
      </w:r>
    </w:p>
    <w:p>
      <w:pPr>
        <w:spacing w:line="360" w:lineRule="auto"/>
        <w:ind w:firstLine="420" w:firstLineChars="200"/>
        <w:rPr>
          <w:rFonts w:hint="eastAsia"/>
        </w:rPr>
      </w:pPr>
      <w:r>
        <w:rPr>
          <w:rFonts w:hint="eastAsia"/>
        </w:rPr>
        <w:t>（8）《建筑施工模板安全技术规程》JGJ162；</w:t>
      </w:r>
    </w:p>
    <w:p>
      <w:pPr>
        <w:spacing w:line="360" w:lineRule="auto"/>
        <w:ind w:firstLine="420" w:firstLineChars="200"/>
        <w:rPr>
          <w:rFonts w:hint="eastAsia"/>
        </w:rPr>
      </w:pPr>
      <w:r>
        <w:rPr>
          <w:rFonts w:hint="eastAsia"/>
        </w:rPr>
        <w:t>（9）《混凝土结构工程施工质量验收规范》GB50204-2015</w:t>
      </w:r>
    </w:p>
    <w:p>
      <w:pPr>
        <w:spacing w:line="360" w:lineRule="auto"/>
        <w:ind w:firstLine="420" w:firstLineChars="200"/>
        <w:rPr>
          <w:rFonts w:hint="eastAsia"/>
          <w:lang w:val="en-US" w:eastAsia="zh-CN"/>
        </w:rPr>
      </w:pPr>
      <w:r>
        <w:rPr>
          <w:rFonts w:hint="eastAsia"/>
          <w:lang w:val="en-US" w:eastAsia="zh-CN"/>
        </w:rPr>
        <w:t xml:space="preserve">（10）铝合金模板材质要求：满足国家标准GB/T 6892要求的AL6061-T6铝合金材料 </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模板系统：拉片式铝合金；</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材料型号：6061-T6</w:t>
      </w:r>
    </w:p>
    <w:p>
      <w:pPr>
        <w:spacing w:line="36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质量要求：</w:t>
      </w:r>
    </w:p>
    <w:p>
      <w:pPr>
        <w:widowControl/>
        <w:spacing w:line="360" w:lineRule="auto"/>
        <w:ind w:firstLine="420" w:firstLineChars="200"/>
        <w:rPr>
          <w:rFonts w:ascii="Calibri" w:hAnsi="Calibri"/>
          <w:szCs w:val="21"/>
        </w:rPr>
      </w:pPr>
      <w:r>
        <w:rPr>
          <w:rFonts w:hint="eastAsia" w:ascii="Calibri" w:hAnsi="Calibri"/>
          <w:szCs w:val="21"/>
        </w:rPr>
        <w:t>投标方应严格按照招标方技术规格要求</w:t>
      </w:r>
      <w:r>
        <w:rPr>
          <w:rFonts w:hint="eastAsia" w:ascii="Calibri" w:hAnsi="Calibri"/>
          <w:szCs w:val="21"/>
          <w:lang w:val="en-US" w:eastAsia="zh-CN"/>
        </w:rPr>
        <w:t>采用全新材料进行模板系统的</w:t>
      </w:r>
      <w:r>
        <w:rPr>
          <w:rFonts w:hint="eastAsia" w:ascii="Calibri" w:hAnsi="Calibri"/>
          <w:szCs w:val="21"/>
        </w:rPr>
        <w:t>生产，</w:t>
      </w:r>
      <w:r>
        <w:rPr>
          <w:rFonts w:hint="eastAsia" w:ascii="Calibri" w:hAnsi="Calibri"/>
          <w:szCs w:val="21"/>
          <w:lang w:val="en-US" w:eastAsia="zh-CN"/>
        </w:rPr>
        <w:t>并保证产品质量达到相关标准要求。</w:t>
      </w:r>
    </w:p>
    <w:p>
      <w:pPr>
        <w:spacing w:line="360" w:lineRule="auto"/>
        <w:ind w:firstLine="420" w:firstLineChars="200"/>
        <w:rPr>
          <w:rFonts w:cs="宋体" w:asciiTheme="minorEastAsia" w:hAnsiTheme="minorEastAsia"/>
          <w:color w:val="000000"/>
          <w:kern w:val="0"/>
          <w:sz w:val="22"/>
          <w:szCs w:val="22"/>
        </w:rPr>
      </w:pPr>
      <w:r>
        <w:rPr>
          <w:rFonts w:hint="eastAsia" w:asciiTheme="minorEastAsia" w:hAnsiTheme="minorEastAsia"/>
          <w:szCs w:val="21"/>
        </w:rPr>
        <w:t>投标报价为将铝合金模板</w:t>
      </w:r>
      <w:r>
        <w:rPr>
          <w:rFonts w:hint="eastAsia" w:asciiTheme="minorEastAsia" w:hAnsiTheme="minorEastAsia"/>
          <w:szCs w:val="21"/>
          <w:lang w:val="en-US" w:eastAsia="zh-CN"/>
        </w:rPr>
        <w:t>国内工厂含税出厂</w:t>
      </w:r>
      <w:r>
        <w:rPr>
          <w:rFonts w:hint="eastAsia" w:asciiTheme="minorEastAsia" w:hAnsiTheme="minorEastAsia"/>
          <w:szCs w:val="21"/>
        </w:rPr>
        <w:t>价。采购单价包括所有的包装和其他一切</w:t>
      </w:r>
      <w:r>
        <w:rPr>
          <w:rFonts w:hint="eastAsia" w:asciiTheme="minorEastAsia" w:hAnsiTheme="minorEastAsia"/>
          <w:szCs w:val="21"/>
          <w:lang w:val="en-US" w:eastAsia="zh-CN"/>
        </w:rPr>
        <w:t>出厂前</w:t>
      </w:r>
      <w:r>
        <w:rPr>
          <w:rFonts w:hint="eastAsia" w:asciiTheme="minorEastAsia" w:hAnsiTheme="minorEastAsia"/>
          <w:szCs w:val="21"/>
        </w:rPr>
        <w:t>费用。在货物运输</w:t>
      </w:r>
      <w:r>
        <w:rPr>
          <w:rFonts w:hint="eastAsia" w:asciiTheme="minorEastAsia" w:hAnsiTheme="minorEastAsia"/>
          <w:szCs w:val="21"/>
          <w:lang w:val="en-US" w:eastAsia="zh-CN"/>
        </w:rPr>
        <w:t>出指定工厂</w:t>
      </w:r>
      <w:r>
        <w:rPr>
          <w:rFonts w:hint="eastAsia" w:asciiTheme="minorEastAsia" w:hAnsiTheme="minorEastAsia"/>
          <w:szCs w:val="21"/>
        </w:rPr>
        <w:t>之前所发生的一切损失应当由卖方承担。</w:t>
      </w:r>
    </w:p>
    <w:p>
      <w:pPr>
        <w:spacing w:line="360" w:lineRule="auto"/>
        <w:ind w:firstLine="420" w:firstLineChars="200"/>
        <w:rPr>
          <w:b/>
          <w:sz w:val="36"/>
          <w:szCs w:val="36"/>
          <w:highlight w:val="none"/>
        </w:rPr>
      </w:pPr>
      <w:r>
        <w:rPr>
          <w:rFonts w:hint="eastAsia"/>
          <w:highlight w:val="none"/>
        </w:rPr>
        <w:t>合同签订卖方完成深化设计并提出方案，得到买方和业主审核通过后，7个工作日内以电汇形式支付合同总额的</w:t>
      </w:r>
      <w:r>
        <w:rPr>
          <w:rFonts w:hint="eastAsia"/>
          <w:highlight w:val="none"/>
          <w:lang w:val="en-US" w:eastAsia="zh-CN"/>
        </w:rPr>
        <w:t>30</w:t>
      </w:r>
      <w:r>
        <w:rPr>
          <w:rFonts w:hint="eastAsia"/>
          <w:highlight w:val="none"/>
        </w:rPr>
        <w:t>%预付款</w:t>
      </w:r>
      <w:r>
        <w:rPr>
          <w:rFonts w:hint="eastAsia"/>
          <w:highlight w:val="none"/>
          <w:lang w:eastAsia="zh-CN"/>
        </w:rPr>
        <w:t>；</w:t>
      </w:r>
      <w:r>
        <w:rPr>
          <w:rFonts w:hint="eastAsia"/>
          <w:highlight w:val="none"/>
          <w:lang w:val="en-US" w:eastAsia="zh-CN"/>
        </w:rPr>
        <w:t>买方</w:t>
      </w:r>
      <w:r>
        <w:rPr>
          <w:rFonts w:hint="eastAsia"/>
          <w:highlight w:val="none"/>
        </w:rPr>
        <w:t>于</w:t>
      </w:r>
      <w:r>
        <w:rPr>
          <w:rFonts w:hint="eastAsia"/>
          <w:highlight w:val="none"/>
          <w:lang w:val="en-US" w:eastAsia="zh-CN"/>
        </w:rPr>
        <w:t>卖方</w:t>
      </w:r>
      <w:r>
        <w:rPr>
          <w:rFonts w:hint="eastAsia"/>
          <w:highlight w:val="none"/>
        </w:rPr>
        <w:t>工厂验收合格</w:t>
      </w:r>
      <w:r>
        <w:rPr>
          <w:rFonts w:hint="eastAsia"/>
          <w:highlight w:val="none"/>
          <w:lang w:val="en-US" w:eastAsia="zh-CN"/>
        </w:rPr>
        <w:t>后</w:t>
      </w:r>
      <w:r>
        <w:rPr>
          <w:rFonts w:hint="eastAsia"/>
          <w:highlight w:val="none"/>
        </w:rPr>
        <w:t>，以电汇方式支付</w:t>
      </w:r>
      <w:r>
        <w:rPr>
          <w:rFonts w:hint="eastAsia"/>
          <w:highlight w:val="none"/>
          <w:lang w:val="en-US" w:eastAsia="zh-CN"/>
        </w:rPr>
        <w:t>卖方</w:t>
      </w:r>
      <w:r>
        <w:rPr>
          <w:rFonts w:hint="eastAsia"/>
          <w:highlight w:val="none"/>
        </w:rPr>
        <w:t>对应合同总金额</w:t>
      </w:r>
      <w:r>
        <w:rPr>
          <w:rFonts w:hint="eastAsia"/>
          <w:highlight w:val="none"/>
          <w:lang w:val="en-US" w:eastAsia="zh-CN"/>
        </w:rPr>
        <w:t>65</w:t>
      </w:r>
      <w:r>
        <w:rPr>
          <w:rFonts w:hint="eastAsia"/>
          <w:highlight w:val="none"/>
        </w:rPr>
        <w:t>%的货款，货款到账后</w:t>
      </w:r>
      <w:r>
        <w:rPr>
          <w:rFonts w:hint="eastAsia"/>
          <w:highlight w:val="none"/>
          <w:lang w:val="en-US" w:eastAsia="zh-CN"/>
        </w:rPr>
        <w:t>卖</w:t>
      </w:r>
      <w:r>
        <w:rPr>
          <w:rFonts w:hint="eastAsia"/>
          <w:highlight w:val="none"/>
        </w:rPr>
        <w:t>方发货</w:t>
      </w:r>
      <w:r>
        <w:rPr>
          <w:rFonts w:hint="eastAsia"/>
          <w:highlight w:val="none"/>
          <w:lang w:eastAsia="zh-CN"/>
        </w:rPr>
        <w:t>。</w:t>
      </w:r>
      <w:r>
        <w:rPr>
          <w:rFonts w:hint="eastAsia"/>
          <w:highlight w:val="none"/>
        </w:rPr>
        <w:t>剩余的合同总额</w:t>
      </w:r>
      <w:r>
        <w:rPr>
          <w:rFonts w:hint="eastAsia"/>
          <w:highlight w:val="none"/>
          <w:lang w:val="en-US" w:eastAsia="zh-CN"/>
        </w:rPr>
        <w:t>5</w:t>
      </w:r>
      <w:r>
        <w:rPr>
          <w:rFonts w:hint="eastAsia"/>
          <w:highlight w:val="none"/>
        </w:rPr>
        <w:t>%作为质量保证金，在顺利完成最后一层铝模板施工后3天内以电汇形式支付.最终的付款方式以定标后的合同签订为准。</w:t>
      </w:r>
    </w:p>
    <w:p>
      <w:pPr>
        <w:spacing w:line="360" w:lineRule="auto"/>
        <w:ind w:firstLine="420" w:firstLineChars="200"/>
        <w:rPr>
          <w:rFonts w:asciiTheme="minorEastAsia" w:hAnsiTheme="minorEastAsia"/>
          <w:szCs w:val="21"/>
        </w:rPr>
      </w:pPr>
      <w:r>
        <w:rPr>
          <w:rFonts w:hint="eastAsia" w:asciiTheme="minorEastAsia" w:hAnsiTheme="minorEastAsia"/>
          <w:szCs w:val="21"/>
        </w:rPr>
        <w:t>所有供应的货物应当与合同，业主要求的质量标准规范中描述的一致，卖方的产品必须是得到本项目业主的正式批复的，并为此提供产品质量证书。</w:t>
      </w:r>
    </w:p>
    <w:p>
      <w:pPr>
        <w:spacing w:line="360" w:lineRule="auto"/>
        <w:ind w:firstLine="440" w:firstLineChars="200"/>
        <w:rPr>
          <w:sz w:val="22"/>
          <w:szCs w:val="22"/>
        </w:rPr>
      </w:pPr>
    </w:p>
    <w:p>
      <w:pPr>
        <w:spacing w:line="360" w:lineRule="auto"/>
        <w:ind w:firstLine="440" w:firstLineChars="200"/>
        <w:rPr>
          <w:rFonts w:asciiTheme="minorEastAsia" w:hAnsiTheme="minorEastAsia"/>
          <w:bCs/>
          <w:sz w:val="22"/>
          <w:szCs w:val="22"/>
        </w:rPr>
      </w:pPr>
      <w:r>
        <w:rPr>
          <w:rFonts w:hint="eastAsia" w:asciiTheme="minorEastAsia" w:hAnsiTheme="minorEastAsia"/>
          <w:bCs/>
          <w:sz w:val="22"/>
          <w:szCs w:val="22"/>
        </w:rPr>
        <w:t>投标人：（盖章）_______________</w:t>
      </w:r>
    </w:p>
    <w:p>
      <w:pPr>
        <w:pStyle w:val="15"/>
        <w:spacing w:line="360" w:lineRule="auto"/>
        <w:ind w:firstLine="440"/>
        <w:rPr>
          <w:sz w:val="22"/>
          <w:szCs w:val="22"/>
        </w:rPr>
      </w:pPr>
    </w:p>
    <w:p>
      <w:pPr>
        <w:spacing w:line="360" w:lineRule="auto"/>
        <w:ind w:firstLine="440" w:firstLineChars="200"/>
        <w:rPr>
          <w:rFonts w:asciiTheme="minorEastAsia" w:hAnsiTheme="minorEastAsia"/>
          <w:bCs/>
          <w:sz w:val="22"/>
          <w:szCs w:val="22"/>
        </w:rPr>
      </w:pPr>
      <w:r>
        <w:rPr>
          <w:rFonts w:hint="eastAsia" w:asciiTheme="minorEastAsia" w:hAnsiTheme="minorEastAsia"/>
          <w:bCs/>
          <w:sz w:val="22"/>
          <w:szCs w:val="22"/>
        </w:rPr>
        <w:t>法定代表人或授权代理人：（签章）_______________</w:t>
      </w:r>
    </w:p>
    <w:p>
      <w:pPr>
        <w:spacing w:line="360" w:lineRule="auto"/>
        <w:ind w:firstLine="440" w:firstLineChars="200"/>
        <w:rPr>
          <w:bCs/>
          <w:sz w:val="22"/>
          <w:szCs w:val="22"/>
        </w:rPr>
      </w:pPr>
    </w:p>
    <w:p>
      <w:pPr>
        <w:spacing w:line="360" w:lineRule="auto"/>
        <w:ind w:firstLine="440" w:firstLineChars="200"/>
        <w:rPr>
          <w:rFonts w:asciiTheme="minorEastAsia" w:hAnsiTheme="minorEastAsia"/>
          <w:bCs/>
          <w:sz w:val="22"/>
          <w:szCs w:val="22"/>
        </w:rPr>
      </w:pPr>
      <w:r>
        <w:rPr>
          <w:rFonts w:hint="eastAsia" w:asciiTheme="minorEastAsia" w:hAnsiTheme="minorEastAsia"/>
          <w:bCs/>
          <w:sz w:val="22"/>
          <w:szCs w:val="22"/>
        </w:rPr>
        <w:t>日期：__________年_____月_____日</w:t>
      </w: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15"/>
        <w:spacing w:line="360" w:lineRule="auto"/>
        <w:ind w:firstLine="440"/>
        <w:rPr>
          <w:rFonts w:asciiTheme="minorEastAsia" w:hAnsiTheme="minorEastAsia" w:eastAsiaTheme="minorEastAsia"/>
          <w:bCs/>
          <w:sz w:val="22"/>
          <w:szCs w:val="22"/>
        </w:rPr>
      </w:pP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b/>
          <w:sz w:val="32"/>
          <w:szCs w:val="32"/>
        </w:rPr>
      </w:pPr>
      <w:bookmarkStart w:id="127" w:name="_Toc12338"/>
      <w:r>
        <w:rPr>
          <w:rFonts w:hint="eastAsia"/>
          <w:b/>
          <w:sz w:val="32"/>
          <w:szCs w:val="32"/>
        </w:rPr>
        <w:t>附件四</w:t>
      </w:r>
      <w:bookmarkEnd w:id="127"/>
    </w:p>
    <w:p>
      <w:pPr>
        <w:spacing w:line="360" w:lineRule="auto"/>
        <w:ind w:firstLine="643" w:firstLineChars="200"/>
        <w:rPr>
          <w:rFonts w:asciiTheme="minorEastAsia" w:hAnsiTheme="minorEastAsia"/>
          <w:b/>
          <w:sz w:val="32"/>
          <w:szCs w:val="32"/>
        </w:rPr>
      </w:pPr>
      <w:r>
        <w:rPr>
          <w:rFonts w:hint="eastAsia" w:asciiTheme="minorEastAsia" w:hAnsiTheme="minorEastAsia"/>
          <w:b/>
          <w:sz w:val="32"/>
          <w:szCs w:val="32"/>
        </w:rPr>
        <w:t>关于资格的声明函</w:t>
      </w:r>
    </w:p>
    <w:p>
      <w:pPr>
        <w:tabs>
          <w:tab w:val="right" w:leader="hyphen" w:pos="8400"/>
        </w:tabs>
        <w:spacing w:line="360" w:lineRule="auto"/>
        <w:ind w:firstLine="422" w:firstLineChars="200"/>
        <w:rPr>
          <w:b/>
        </w:rPr>
      </w:pPr>
    </w:p>
    <w:p>
      <w:pPr>
        <w:spacing w:line="360" w:lineRule="auto"/>
        <w:ind w:firstLine="420" w:firstLineChars="200"/>
        <w:rPr>
          <w:bCs/>
          <w:sz w:val="22"/>
          <w:szCs w:val="28"/>
        </w:rPr>
      </w:pPr>
      <w:r>
        <w:rPr>
          <w:rFonts w:hint="eastAsia" w:asciiTheme="minorEastAsia" w:hAnsiTheme="minorEastAsia"/>
          <w:szCs w:val="21"/>
        </w:rPr>
        <w:t>致：</w:t>
      </w:r>
    </w:p>
    <w:p>
      <w:pPr>
        <w:spacing w:line="360" w:lineRule="auto"/>
        <w:ind w:firstLine="420" w:firstLineChars="200"/>
        <w:rPr>
          <w:rFonts w:asciiTheme="minorEastAsia" w:hAnsiTheme="minorEastAsia"/>
          <w:szCs w:val="21"/>
        </w:rPr>
      </w:pPr>
      <w:r>
        <w:rPr>
          <w:rFonts w:hint="eastAsia" w:asciiTheme="minorEastAsia" w:hAnsiTheme="minorEastAsia"/>
          <w:szCs w:val="21"/>
        </w:rPr>
        <w:t>关于贵单位</w:t>
      </w:r>
      <w:r>
        <w:rPr>
          <w:rFonts w:hint="eastAsia" w:asciiTheme="minorEastAsia" w:hAnsiTheme="minorEastAsia"/>
          <w:color w:val="000000"/>
          <w:szCs w:val="21"/>
        </w:rPr>
        <w:t>招标编号：__________</w:t>
      </w:r>
      <w:r>
        <w:rPr>
          <w:rFonts w:hint="eastAsia" w:asciiTheme="minorEastAsia" w:hAnsiTheme="minorEastAsia"/>
          <w:szCs w:val="21"/>
        </w:rPr>
        <w:t>的采购公告，本签字人愿意参加投标，同意提供招标项目一览表中规定的模板，并证明提交的下列文件和说明是准确的和真实的。</w:t>
      </w:r>
    </w:p>
    <w:p>
      <w:pPr>
        <w:spacing w:line="360" w:lineRule="auto"/>
        <w:ind w:firstLine="440" w:firstLineChars="200"/>
        <w:rPr>
          <w:bCs/>
          <w:sz w:val="22"/>
          <w:szCs w:val="28"/>
        </w:rPr>
      </w:pPr>
    </w:p>
    <w:p>
      <w:pPr>
        <w:spacing w:line="360" w:lineRule="auto"/>
        <w:ind w:firstLine="440" w:firstLineChars="200"/>
        <w:rPr>
          <w:bCs/>
          <w:sz w:val="22"/>
          <w:szCs w:val="28"/>
        </w:rPr>
      </w:pPr>
      <w:r>
        <w:rPr>
          <w:rFonts w:hint="eastAsia"/>
          <w:bCs/>
          <w:sz w:val="22"/>
          <w:szCs w:val="28"/>
        </w:rPr>
        <w:t xml:space="preserve">1. </w:t>
      </w:r>
      <w:r>
        <w:rPr>
          <w:rFonts w:hint="eastAsia" w:asciiTheme="minorEastAsia" w:hAnsiTheme="minorEastAsia"/>
          <w:szCs w:val="21"/>
        </w:rPr>
        <w:t>由工商局签发的我方工商营业执照正本复印件（加盖公章）一份。</w:t>
      </w:r>
    </w:p>
    <w:p>
      <w:pPr>
        <w:spacing w:line="360" w:lineRule="auto"/>
        <w:ind w:firstLine="440" w:firstLineChars="200"/>
        <w:rPr>
          <w:bCs/>
          <w:sz w:val="22"/>
          <w:szCs w:val="28"/>
        </w:rPr>
      </w:pPr>
      <w:r>
        <w:rPr>
          <w:rFonts w:hint="eastAsia"/>
          <w:bCs/>
          <w:sz w:val="22"/>
          <w:szCs w:val="28"/>
        </w:rPr>
        <w:t xml:space="preserve">2. </w:t>
      </w:r>
      <w:r>
        <w:rPr>
          <w:rFonts w:hint="eastAsia" w:asciiTheme="minorEastAsia" w:hAnsiTheme="minorEastAsia"/>
          <w:szCs w:val="21"/>
        </w:rPr>
        <w:t>履约记录（用户单位名单）。</w:t>
      </w:r>
    </w:p>
    <w:p>
      <w:pPr>
        <w:spacing w:line="360" w:lineRule="auto"/>
        <w:ind w:firstLine="440" w:firstLineChars="200"/>
        <w:rPr>
          <w:bCs/>
          <w:sz w:val="22"/>
          <w:szCs w:val="28"/>
        </w:rPr>
      </w:pPr>
      <w:r>
        <w:rPr>
          <w:rFonts w:hint="eastAsia"/>
          <w:bCs/>
          <w:sz w:val="22"/>
          <w:szCs w:val="28"/>
        </w:rPr>
        <w:t xml:space="preserve">3. </w:t>
      </w:r>
      <w:r>
        <w:rPr>
          <w:rFonts w:hint="eastAsia" w:asciiTheme="minorEastAsia" w:hAnsiTheme="minorEastAsia"/>
          <w:szCs w:val="21"/>
        </w:rPr>
        <w:t>本签字人确认资格文件中的说明是真实的、准确的。</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单位名称：</w:t>
      </w:r>
      <w:r>
        <w:rPr>
          <w:rFonts w:asciiTheme="minorEastAsia" w:hAnsiTheme="minorEastAsia"/>
          <w:szCs w:val="21"/>
        </w:rPr>
        <w:t>___________________________________</w:t>
      </w:r>
    </w:p>
    <w:p>
      <w:pPr>
        <w:pStyle w:val="15"/>
        <w:spacing w:line="360" w:lineRule="auto"/>
        <w:ind w:firstLine="560"/>
      </w:pPr>
    </w:p>
    <w:p>
      <w:pPr>
        <w:spacing w:line="360" w:lineRule="auto"/>
        <w:ind w:firstLine="420" w:firstLineChars="200"/>
        <w:rPr>
          <w:rFonts w:asciiTheme="minorEastAsia" w:hAnsiTheme="minorEastAsia"/>
          <w:szCs w:val="21"/>
        </w:rPr>
      </w:pPr>
      <w:r>
        <w:rPr>
          <w:rFonts w:hint="eastAsia" w:asciiTheme="minorEastAsia" w:hAnsiTheme="minorEastAsia"/>
          <w:szCs w:val="21"/>
        </w:rPr>
        <w:t>地址：</w:t>
      </w:r>
      <w:r>
        <w:rPr>
          <w:rFonts w:asciiTheme="minorEastAsia" w:hAnsiTheme="minorEastAsia"/>
          <w:szCs w:val="21"/>
        </w:rPr>
        <w:t>_______________________________________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授权人签字：</w:t>
      </w:r>
      <w:r>
        <w:rPr>
          <w:rFonts w:asciiTheme="minorEastAsia" w:hAnsiTheme="minorEastAsia"/>
          <w:szCs w:val="21"/>
        </w:rPr>
        <w:t>___________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职务：</w:t>
      </w:r>
      <w:r>
        <w:rPr>
          <w:rFonts w:asciiTheme="minorEastAsia" w:hAnsiTheme="minorEastAsia"/>
          <w:szCs w:val="21"/>
        </w:rPr>
        <w:t>________________</w:t>
      </w:r>
      <w:r>
        <w:rPr>
          <w:rFonts w:hint="eastAsia" w:asciiTheme="minorEastAsia" w:hAnsiTheme="minorEastAsia"/>
          <w:szCs w:val="21"/>
        </w:rPr>
        <w:t>_</w:t>
      </w:r>
    </w:p>
    <w:p>
      <w:pPr>
        <w:spacing w:line="360" w:lineRule="auto"/>
        <w:ind w:firstLine="440" w:firstLineChars="200"/>
        <w:rPr>
          <w:bCs/>
          <w:sz w:val="22"/>
          <w:szCs w:val="28"/>
        </w:rPr>
      </w:pPr>
    </w:p>
    <w:p>
      <w:pPr>
        <w:spacing w:line="360" w:lineRule="auto"/>
        <w:ind w:firstLine="420" w:firstLineChars="200"/>
        <w:rPr>
          <w:bCs/>
          <w:sz w:val="22"/>
          <w:szCs w:val="28"/>
        </w:rPr>
      </w:pPr>
      <w:r>
        <w:rPr>
          <w:rFonts w:hint="eastAsia" w:asciiTheme="minorEastAsia" w:hAnsiTheme="minorEastAsia"/>
          <w:szCs w:val="21"/>
        </w:rPr>
        <w:t>电话：</w:t>
      </w:r>
      <w:r>
        <w:rPr>
          <w:rFonts w:asciiTheme="minorEastAsia" w:hAnsiTheme="minorEastAsia"/>
          <w:szCs w:val="21"/>
        </w:rPr>
        <w:t>_________________</w:t>
      </w:r>
    </w:p>
    <w:p>
      <w:pPr>
        <w:spacing w:line="360" w:lineRule="auto"/>
        <w:ind w:firstLine="440" w:firstLineChars="200"/>
        <w:rPr>
          <w:bCs/>
          <w:sz w:val="22"/>
          <w:szCs w:val="28"/>
        </w:rPr>
      </w:pPr>
    </w:p>
    <w:p>
      <w:pPr>
        <w:spacing w:line="360" w:lineRule="auto"/>
        <w:ind w:firstLine="420" w:firstLineChars="200"/>
        <w:rPr>
          <w:rFonts w:asciiTheme="minorEastAsia" w:hAnsiTheme="minorEastAsia"/>
          <w:szCs w:val="21"/>
        </w:rPr>
      </w:pPr>
      <w:r>
        <w:rPr>
          <w:rFonts w:hint="eastAsia" w:asciiTheme="minorEastAsia" w:hAnsiTheme="minorEastAsia"/>
          <w:szCs w:val="21"/>
        </w:rPr>
        <w:t>传真：</w:t>
      </w:r>
      <w:r>
        <w:rPr>
          <w:rFonts w:asciiTheme="minorEastAsia" w:hAnsiTheme="minorEastAsia"/>
          <w:szCs w:val="21"/>
        </w:rPr>
        <w:t>________________</w:t>
      </w:r>
    </w:p>
    <w:p>
      <w:pPr>
        <w:spacing w:line="360" w:lineRule="auto"/>
        <w:ind w:firstLine="420" w:firstLineChars="200"/>
        <w:rPr>
          <w:rFonts w:asciiTheme="minorEastAsia" w:hAnsiTheme="minorEastAsia"/>
          <w:szCs w:val="21"/>
        </w:rPr>
      </w:pPr>
    </w:p>
    <w:p>
      <w:pPr>
        <w:spacing w:line="360" w:lineRule="auto"/>
        <w:ind w:firstLine="420" w:firstLineChars="200"/>
        <w:rPr>
          <w:rFonts w:asciiTheme="minorEastAsia" w:hAnsiTheme="minorEastAsia"/>
          <w:szCs w:val="21"/>
        </w:rPr>
      </w:pPr>
      <w:r>
        <w:rPr>
          <w:rFonts w:hint="eastAsia" w:asciiTheme="minorEastAsia" w:hAnsiTheme="minorEastAsia"/>
          <w:szCs w:val="21"/>
        </w:rPr>
        <w:t>邮编：</w:t>
      </w:r>
      <w:r>
        <w:rPr>
          <w:rFonts w:asciiTheme="minorEastAsia" w:hAnsiTheme="minorEastAsia"/>
          <w:szCs w:val="21"/>
        </w:rPr>
        <w:t>_________________</w:t>
      </w:r>
    </w:p>
    <w:p>
      <w:pPr>
        <w:widowControl/>
        <w:spacing w:line="360" w:lineRule="auto"/>
        <w:ind w:firstLine="440" w:firstLineChars="200"/>
        <w:rPr>
          <w:bCs/>
          <w:sz w:val="22"/>
          <w:szCs w:val="28"/>
        </w:rPr>
      </w:pPr>
      <w:r>
        <w:rPr>
          <w:bCs/>
          <w:sz w:val="22"/>
          <w:szCs w:val="28"/>
        </w:rPr>
        <w:br w:type="page"/>
      </w: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b/>
          <w:sz w:val="32"/>
          <w:szCs w:val="32"/>
        </w:rPr>
      </w:pPr>
      <w:bookmarkStart w:id="128" w:name="_Toc26258"/>
      <w:r>
        <w:rPr>
          <w:rFonts w:hint="eastAsia"/>
          <w:b/>
          <w:sz w:val="32"/>
          <w:szCs w:val="32"/>
        </w:rPr>
        <w:t>附件五</w:t>
      </w:r>
      <w:bookmarkEnd w:id="128"/>
    </w:p>
    <w:p>
      <w:pPr>
        <w:spacing w:line="360" w:lineRule="auto"/>
        <w:ind w:firstLine="643" w:firstLineChars="200"/>
        <w:rPr>
          <w:rFonts w:asciiTheme="minorEastAsia" w:hAnsiTheme="minorEastAsia"/>
          <w:b/>
          <w:sz w:val="32"/>
          <w:szCs w:val="32"/>
        </w:rPr>
      </w:pPr>
      <w:r>
        <w:rPr>
          <w:rFonts w:hint="eastAsia" w:asciiTheme="minorEastAsia" w:hAnsiTheme="minorEastAsia"/>
          <w:b/>
          <w:sz w:val="32"/>
          <w:szCs w:val="32"/>
        </w:rPr>
        <w:t>投标方已完成的同类型业绩情况</w:t>
      </w:r>
    </w:p>
    <w:p>
      <w:pPr>
        <w:spacing w:line="360" w:lineRule="auto"/>
        <w:ind w:firstLine="440" w:firstLineChars="200"/>
        <w:rPr>
          <w:bCs/>
          <w:sz w:val="22"/>
          <w:szCs w:val="28"/>
        </w:rPr>
      </w:pPr>
    </w:p>
    <w:p>
      <w:pPr>
        <w:spacing w:line="360" w:lineRule="auto"/>
        <w:ind w:firstLine="420" w:firstLineChars="200"/>
        <w:rPr>
          <w:bCs/>
          <w:sz w:val="22"/>
          <w:szCs w:val="28"/>
        </w:rPr>
      </w:pPr>
      <w:r>
        <w:rPr>
          <w:rFonts w:hint="eastAsia" w:asciiTheme="minorEastAsia" w:hAnsiTheme="minorEastAsia"/>
          <w:bCs/>
          <w:szCs w:val="21"/>
        </w:rPr>
        <w:t>投标人过去三年中完成同类型工程情况表</w:t>
      </w:r>
    </w:p>
    <w:tbl>
      <w:tblPr>
        <w:tblStyle w:val="16"/>
        <w:tblW w:w="9286" w:type="dxa"/>
        <w:tblInd w:w="0" w:type="dxa"/>
        <w:tblLayout w:type="fixed"/>
        <w:tblCellMar>
          <w:top w:w="0" w:type="dxa"/>
          <w:left w:w="108" w:type="dxa"/>
          <w:bottom w:w="0" w:type="dxa"/>
          <w:right w:w="108" w:type="dxa"/>
        </w:tblCellMar>
      </w:tblPr>
      <w:tblGrid>
        <w:gridCol w:w="1644"/>
        <w:gridCol w:w="2728"/>
        <w:gridCol w:w="2186"/>
        <w:gridCol w:w="2728"/>
      </w:tblGrid>
      <w:tr>
        <w:tblPrEx>
          <w:tblCellMar>
            <w:top w:w="0" w:type="dxa"/>
            <w:left w:w="108" w:type="dxa"/>
            <w:bottom w:w="0" w:type="dxa"/>
            <w:right w:w="108" w:type="dxa"/>
          </w:tblCellMar>
        </w:tblPrEx>
        <w:trPr>
          <w:trHeight w:val="270" w:hRule="atLeast"/>
        </w:trPr>
        <w:tc>
          <w:tcPr>
            <w:tcW w:w="16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r>
              <w:rPr>
                <w:rFonts w:hint="eastAsia" w:cs="宋体" w:asciiTheme="minorEastAsia" w:hAnsiTheme="minorEastAsia"/>
                <w:color w:val="000000"/>
                <w:kern w:val="0"/>
                <w:szCs w:val="21"/>
              </w:rPr>
              <w:t>序号</w:t>
            </w:r>
          </w:p>
        </w:tc>
        <w:tc>
          <w:tcPr>
            <w:tcW w:w="2728" w:type="dxa"/>
            <w:tcBorders>
              <w:top w:val="single" w:color="auto" w:sz="4" w:space="0"/>
              <w:left w:val="nil"/>
              <w:bottom w:val="single" w:color="auto" w:sz="4" w:space="0"/>
              <w:right w:val="single" w:color="auto" w:sz="4" w:space="0"/>
            </w:tcBorders>
            <w:shd w:val="clear" w:color="auto" w:fill="auto"/>
          </w:tcPr>
          <w:p>
            <w:pPr>
              <w:spacing w:line="360" w:lineRule="auto"/>
              <w:ind w:firstLine="420" w:firstLineChars="200"/>
            </w:pPr>
            <w:r>
              <w:rPr>
                <w:rFonts w:hint="eastAsia"/>
              </w:rPr>
              <w:t>合作公司</w:t>
            </w:r>
          </w:p>
        </w:tc>
        <w:tc>
          <w:tcPr>
            <w:tcW w:w="2186" w:type="dxa"/>
            <w:tcBorders>
              <w:top w:val="single" w:color="auto" w:sz="4" w:space="0"/>
              <w:left w:val="nil"/>
              <w:bottom w:val="single" w:color="auto" w:sz="4" w:space="0"/>
              <w:right w:val="single" w:color="auto" w:sz="4" w:space="0"/>
            </w:tcBorders>
            <w:shd w:val="clear" w:color="auto" w:fill="auto"/>
          </w:tcPr>
          <w:p>
            <w:pPr>
              <w:spacing w:line="360" w:lineRule="auto"/>
              <w:ind w:firstLine="420" w:firstLineChars="200"/>
            </w:pPr>
            <w:r>
              <w:rPr>
                <w:rFonts w:hint="eastAsia" w:cs="宋体" w:asciiTheme="minorEastAsia" w:hAnsiTheme="minorEastAsia"/>
                <w:color w:val="000000"/>
                <w:kern w:val="0"/>
                <w:szCs w:val="21"/>
              </w:rPr>
              <w:t>联系人</w:t>
            </w:r>
          </w:p>
        </w:tc>
        <w:tc>
          <w:tcPr>
            <w:tcW w:w="2728" w:type="dxa"/>
            <w:tcBorders>
              <w:top w:val="single" w:color="auto" w:sz="4" w:space="0"/>
              <w:left w:val="nil"/>
              <w:bottom w:val="single" w:color="auto" w:sz="4" w:space="0"/>
              <w:right w:val="single" w:color="auto" w:sz="4" w:space="0"/>
            </w:tcBorders>
            <w:shd w:val="clear" w:color="auto" w:fill="auto"/>
          </w:tcPr>
          <w:p>
            <w:pPr>
              <w:spacing w:line="360" w:lineRule="auto"/>
              <w:ind w:firstLine="420" w:firstLineChars="200"/>
            </w:pPr>
            <w:r>
              <w:rPr>
                <w:rFonts w:hint="eastAsia" w:cs="宋体" w:asciiTheme="minorEastAsia" w:hAnsiTheme="minorEastAsia"/>
                <w:color w:val="000000"/>
                <w:kern w:val="0"/>
                <w:szCs w:val="21"/>
              </w:rPr>
              <w:t>联系电话</w:t>
            </w: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r>
        <w:tblPrEx>
          <w:tblCellMar>
            <w:top w:w="0" w:type="dxa"/>
            <w:left w:w="108" w:type="dxa"/>
            <w:bottom w:w="0" w:type="dxa"/>
            <w:right w:w="108" w:type="dxa"/>
          </w:tblCellMar>
        </w:tblPrEx>
        <w:trPr>
          <w:trHeight w:val="270" w:hRule="atLeast"/>
        </w:trPr>
        <w:tc>
          <w:tcPr>
            <w:tcW w:w="1644" w:type="dxa"/>
            <w:tcBorders>
              <w:top w:val="nil"/>
              <w:left w:val="single" w:color="auto" w:sz="4" w:space="0"/>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186"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c>
          <w:tcPr>
            <w:tcW w:w="2728" w:type="dxa"/>
            <w:tcBorders>
              <w:top w:val="nil"/>
              <w:left w:val="nil"/>
              <w:bottom w:val="single" w:color="auto" w:sz="4" w:space="0"/>
              <w:right w:val="single" w:color="auto" w:sz="4" w:space="0"/>
            </w:tcBorders>
            <w:shd w:val="clear" w:color="auto" w:fill="auto"/>
            <w:vAlign w:val="center"/>
          </w:tcPr>
          <w:p>
            <w:pPr>
              <w:widowControl/>
              <w:spacing w:line="360" w:lineRule="auto"/>
              <w:ind w:firstLine="420" w:firstLineChars="200"/>
              <w:rPr>
                <w:rFonts w:cs="宋体" w:asciiTheme="minorEastAsia" w:hAnsiTheme="minorEastAsia"/>
                <w:color w:val="000000"/>
                <w:kern w:val="0"/>
                <w:szCs w:val="21"/>
              </w:rPr>
            </w:pPr>
          </w:p>
        </w:tc>
      </w:tr>
    </w:tbl>
    <w:p>
      <w:pPr>
        <w:spacing w:line="360" w:lineRule="auto"/>
        <w:ind w:firstLine="440" w:firstLineChars="200"/>
        <w:rPr>
          <w:bCs/>
          <w:sz w:val="22"/>
          <w:szCs w:val="28"/>
        </w:rPr>
      </w:pPr>
    </w:p>
    <w:p>
      <w:pPr>
        <w:pStyle w:val="15"/>
        <w:spacing w:line="360" w:lineRule="auto"/>
        <w:ind w:firstLine="440"/>
        <w:rPr>
          <w:bCs/>
          <w:sz w:val="22"/>
          <w:szCs w:val="28"/>
        </w:rPr>
      </w:pPr>
    </w:p>
    <w:p>
      <w:pPr>
        <w:pStyle w:val="15"/>
        <w:spacing w:line="360" w:lineRule="auto"/>
        <w:ind w:firstLine="440"/>
        <w:rPr>
          <w:bCs/>
          <w:sz w:val="22"/>
          <w:szCs w:val="28"/>
        </w:rPr>
      </w:pPr>
    </w:p>
    <w:p>
      <w:pPr>
        <w:spacing w:line="360" w:lineRule="auto"/>
        <w:ind w:firstLine="420" w:firstLineChars="200"/>
        <w:rPr>
          <w:rFonts w:asciiTheme="minorEastAsia" w:hAnsiTheme="minorEastAsia"/>
          <w:bCs/>
          <w:szCs w:val="21"/>
        </w:rPr>
      </w:pPr>
      <w:r>
        <w:rPr>
          <w:rFonts w:hint="eastAsia" w:asciiTheme="minorEastAsia" w:hAnsiTheme="minorEastAsia"/>
          <w:bCs/>
          <w:szCs w:val="21"/>
        </w:rPr>
        <w:t>投标人：（盖章）_______________</w:t>
      </w:r>
    </w:p>
    <w:p>
      <w:pPr>
        <w:pStyle w:val="15"/>
        <w:spacing w:line="360" w:lineRule="auto"/>
        <w:ind w:firstLine="440"/>
        <w:rPr>
          <w:bCs/>
          <w:sz w:val="22"/>
          <w:szCs w:val="28"/>
        </w:rPr>
      </w:pPr>
    </w:p>
    <w:p>
      <w:pPr>
        <w:spacing w:line="360" w:lineRule="auto"/>
        <w:ind w:firstLine="420" w:firstLineChars="200"/>
        <w:rPr>
          <w:rFonts w:asciiTheme="minorEastAsia" w:hAnsiTheme="minorEastAsia"/>
          <w:bCs/>
          <w:szCs w:val="21"/>
        </w:rPr>
      </w:pPr>
      <w:r>
        <w:rPr>
          <w:rFonts w:hint="eastAsia" w:asciiTheme="minorEastAsia" w:hAnsiTheme="minorEastAsia"/>
          <w:bCs/>
          <w:szCs w:val="21"/>
        </w:rPr>
        <w:t>法定代表人或授权代理人：（签章）_______________</w:t>
      </w:r>
    </w:p>
    <w:p>
      <w:pPr>
        <w:spacing w:line="360" w:lineRule="auto"/>
        <w:ind w:firstLine="420" w:firstLineChars="200"/>
        <w:rPr>
          <w:rFonts w:hint="eastAsia" w:asciiTheme="minorEastAsia" w:hAnsiTheme="minorEastAsia"/>
          <w:bCs/>
          <w:szCs w:val="21"/>
        </w:rPr>
      </w:pPr>
    </w:p>
    <w:p>
      <w:pPr>
        <w:spacing w:line="360" w:lineRule="auto"/>
        <w:ind w:firstLine="420" w:firstLineChars="200"/>
        <w:rPr>
          <w:rFonts w:asciiTheme="minorEastAsia" w:hAnsiTheme="minorEastAsia"/>
          <w:bCs/>
          <w:szCs w:val="21"/>
        </w:rPr>
      </w:pPr>
      <w:r>
        <w:rPr>
          <w:rFonts w:hint="eastAsia" w:asciiTheme="minorEastAsia" w:hAnsiTheme="minorEastAsia"/>
          <w:bCs/>
          <w:szCs w:val="21"/>
        </w:rPr>
        <w:t>日期：__________年_____月_____日</w:t>
      </w:r>
    </w:p>
    <w:p>
      <w:pPr>
        <w:pStyle w:val="15"/>
        <w:spacing w:line="360" w:lineRule="auto"/>
        <w:ind w:firstLine="440"/>
        <w:rPr>
          <w:bCs/>
          <w:sz w:val="22"/>
          <w:szCs w:val="28"/>
        </w:rPr>
      </w:pPr>
    </w:p>
    <w:p>
      <w:pPr>
        <w:pStyle w:val="15"/>
        <w:spacing w:line="360" w:lineRule="auto"/>
        <w:ind w:firstLine="440"/>
        <w:rPr>
          <w:bCs/>
          <w:sz w:val="22"/>
          <w:szCs w:val="28"/>
        </w:rPr>
      </w:pPr>
    </w:p>
    <w:p>
      <w:pPr>
        <w:tabs>
          <w:tab w:val="right" w:leader="hyphen" w:pos="8400"/>
        </w:tabs>
        <w:spacing w:line="360" w:lineRule="auto"/>
        <w:ind w:firstLine="422" w:firstLineChars="200"/>
        <w:rPr>
          <w:b/>
        </w:rPr>
      </w:pPr>
    </w:p>
    <w:p>
      <w:pPr>
        <w:pStyle w:val="2"/>
        <w:numPr>
          <w:ilvl w:val="1"/>
          <w:numId w:val="0"/>
        </w:numPr>
        <w:ind w:leftChars="0"/>
        <w:outlineLvl w:val="9"/>
      </w:pPr>
    </w:p>
    <w:p>
      <w:pPr>
        <w:pStyle w:val="3"/>
        <w:outlineLvl w:val="9"/>
        <w:rPr>
          <w:b/>
        </w:rPr>
      </w:pPr>
    </w:p>
    <w:p>
      <w:pPr>
        <w:rPr>
          <w:b/>
        </w:rPr>
      </w:pPr>
    </w:p>
    <w:p>
      <w:pPr>
        <w:spacing w:line="360" w:lineRule="auto"/>
        <w:rPr>
          <w:rFonts w:hint="eastAsia" w:asciiTheme="minorEastAsia" w:hAnsiTheme="minorEastAsia"/>
          <w:b/>
          <w:sz w:val="32"/>
          <w:szCs w:val="32"/>
        </w:rPr>
      </w:pP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b/>
          <w:sz w:val="32"/>
          <w:szCs w:val="32"/>
          <w:lang w:val="en-US" w:eastAsia="zh-CN"/>
        </w:rPr>
      </w:pPr>
      <w:bookmarkStart w:id="129" w:name="_Toc32303"/>
      <w:r>
        <w:rPr>
          <w:rFonts w:hint="eastAsia"/>
          <w:b/>
          <w:sz w:val="32"/>
          <w:szCs w:val="32"/>
        </w:rPr>
        <w:t>附件</w:t>
      </w:r>
      <w:r>
        <w:rPr>
          <w:rFonts w:hint="eastAsia"/>
          <w:b/>
          <w:sz w:val="32"/>
          <w:szCs w:val="32"/>
          <w:lang w:val="en-US" w:eastAsia="zh-CN"/>
        </w:rPr>
        <w:t>六</w:t>
      </w:r>
      <w:bookmarkEnd w:id="129"/>
    </w:p>
    <w:p>
      <w:pPr>
        <w:spacing w:line="360" w:lineRule="auto"/>
        <w:ind w:firstLine="643" w:firstLineChars="200"/>
        <w:rPr>
          <w:rFonts w:asciiTheme="minorEastAsia" w:hAnsiTheme="minorEastAsia"/>
          <w:b/>
          <w:sz w:val="32"/>
          <w:szCs w:val="32"/>
        </w:rPr>
      </w:pPr>
      <w:r>
        <w:rPr>
          <w:rFonts w:hint="eastAsia" w:asciiTheme="minorEastAsia" w:hAnsiTheme="minorEastAsia"/>
          <w:b/>
          <w:sz w:val="32"/>
          <w:szCs w:val="32"/>
        </w:rPr>
        <w:t>资格证明文件</w:t>
      </w:r>
    </w:p>
    <w:p>
      <w:pPr>
        <w:pStyle w:val="15"/>
        <w:spacing w:line="360" w:lineRule="auto"/>
        <w:ind w:firstLine="440"/>
        <w:rPr>
          <w:bCs/>
          <w:sz w:val="22"/>
          <w:szCs w:val="28"/>
        </w:rPr>
      </w:pPr>
    </w:p>
    <w:p>
      <w:pPr>
        <w:spacing w:line="360" w:lineRule="auto"/>
        <w:ind w:left="437" w:leftChars="208"/>
        <w:rPr>
          <w:bCs/>
          <w:sz w:val="22"/>
          <w:szCs w:val="28"/>
        </w:rPr>
      </w:pPr>
      <w:r>
        <w:rPr>
          <w:rFonts w:hint="eastAsia"/>
          <w:bCs/>
          <w:sz w:val="22"/>
          <w:szCs w:val="28"/>
        </w:rPr>
        <w:t xml:space="preserve">1. </w:t>
      </w:r>
      <w:r>
        <w:rPr>
          <w:rFonts w:hint="eastAsia" w:asciiTheme="minorEastAsia" w:hAnsiTheme="minorEastAsia"/>
          <w:szCs w:val="21"/>
        </w:rPr>
        <w:t>产品授权委托书</w:t>
      </w:r>
    </w:p>
    <w:p>
      <w:pPr>
        <w:pStyle w:val="15"/>
        <w:numPr>
          <w:ilvl w:val="0"/>
          <w:numId w:val="0"/>
        </w:numPr>
        <w:spacing w:line="360" w:lineRule="auto"/>
        <w:ind w:leftChars="200"/>
        <w:rPr>
          <w:rFonts w:hint="eastAsia" w:asciiTheme="minorEastAsia" w:hAnsiTheme="minorEastAsia" w:eastAsiaTheme="minorEastAsia"/>
          <w:kern w:val="2"/>
          <w:sz w:val="21"/>
          <w:szCs w:val="21"/>
        </w:rPr>
      </w:pPr>
      <w:r>
        <w:rPr>
          <w:rFonts w:hint="eastAsia" w:asciiTheme="minorEastAsia" w:hAnsiTheme="minorEastAsia" w:eastAsiaTheme="minorEastAsia"/>
          <w:kern w:val="2"/>
          <w:sz w:val="21"/>
          <w:szCs w:val="21"/>
          <w:lang w:val="en-US" w:eastAsia="zh-CN"/>
        </w:rPr>
        <w:t>2.</w:t>
      </w:r>
      <w:r>
        <w:rPr>
          <w:rFonts w:hint="eastAsia" w:asciiTheme="minorEastAsia" w:hAnsiTheme="minorEastAsia" w:eastAsiaTheme="minorEastAsia"/>
          <w:kern w:val="2"/>
          <w:sz w:val="21"/>
          <w:szCs w:val="21"/>
        </w:rPr>
        <w:t>营业执照</w:t>
      </w:r>
    </w:p>
    <w:p>
      <w:pPr>
        <w:pStyle w:val="15"/>
        <w:numPr>
          <w:ilvl w:val="0"/>
          <w:numId w:val="6"/>
        </w:numPr>
        <w:spacing w:line="360" w:lineRule="auto"/>
        <w:ind w:left="0" w:leftChars="0" w:firstLine="420" w:firstLineChars="200"/>
        <w:rPr>
          <w:bCs/>
          <w:sz w:val="22"/>
          <w:szCs w:val="28"/>
        </w:rPr>
      </w:pPr>
      <w:r>
        <w:rPr>
          <w:rFonts w:hint="eastAsia" w:asciiTheme="minorEastAsia" w:hAnsiTheme="minorEastAsia" w:eastAsiaTheme="minorEastAsia"/>
          <w:kern w:val="2"/>
          <w:sz w:val="21"/>
          <w:szCs w:val="21"/>
        </w:rPr>
        <w:t>税务登记证</w:t>
      </w:r>
    </w:p>
    <w:p>
      <w:pPr>
        <w:pStyle w:val="15"/>
        <w:numPr>
          <w:ilvl w:val="0"/>
          <w:numId w:val="6"/>
        </w:numPr>
        <w:spacing w:line="360" w:lineRule="auto"/>
        <w:ind w:left="0" w:leftChars="0" w:firstLine="420" w:firstLineChars="200"/>
        <w:rPr>
          <w:bCs/>
          <w:sz w:val="22"/>
          <w:szCs w:val="28"/>
        </w:rPr>
      </w:pPr>
      <w:r>
        <w:rPr>
          <w:rFonts w:hint="eastAsia" w:asciiTheme="minorEastAsia" w:hAnsiTheme="minorEastAsia" w:eastAsiaTheme="minorEastAsia"/>
          <w:kern w:val="2"/>
          <w:sz w:val="21"/>
          <w:szCs w:val="21"/>
        </w:rPr>
        <w:t>其他相关证明文件及证书</w:t>
      </w:r>
    </w:p>
    <w:p>
      <w:pPr>
        <w:pStyle w:val="15"/>
        <w:spacing w:line="360" w:lineRule="auto"/>
        <w:ind w:firstLine="440"/>
        <w:rPr>
          <w:bCs/>
          <w:sz w:val="22"/>
          <w:szCs w:val="28"/>
        </w:rPr>
      </w:pPr>
    </w:p>
    <w:p>
      <w:pPr>
        <w:pStyle w:val="15"/>
        <w:spacing w:line="360" w:lineRule="auto"/>
        <w:ind w:firstLine="440"/>
        <w:rPr>
          <w:bCs/>
          <w:sz w:val="22"/>
          <w:szCs w:val="28"/>
        </w:rPr>
      </w:pPr>
    </w:p>
    <w:p>
      <w:pPr>
        <w:pStyle w:val="15"/>
        <w:spacing w:line="360" w:lineRule="auto"/>
        <w:ind w:firstLine="440"/>
        <w:rPr>
          <w:bCs/>
          <w:sz w:val="22"/>
          <w:szCs w:val="28"/>
        </w:rPr>
      </w:pPr>
    </w:p>
    <w:p>
      <w:pPr>
        <w:pStyle w:val="4"/>
        <w:keepNext/>
        <w:keepLines/>
        <w:pageBreakBefore w:val="0"/>
        <w:widowControl w:val="0"/>
        <w:kinsoku/>
        <w:wordWrap/>
        <w:overflowPunct/>
        <w:topLinePunct w:val="0"/>
        <w:autoSpaceDE/>
        <w:autoSpaceDN/>
        <w:bidi w:val="0"/>
        <w:adjustRightInd/>
        <w:snapToGrid/>
        <w:spacing w:line="240" w:lineRule="auto"/>
        <w:jc w:val="left"/>
        <w:textAlignment w:val="auto"/>
        <w:rPr>
          <w:rFonts w:hint="eastAsia"/>
          <w:b/>
          <w:sz w:val="32"/>
          <w:szCs w:val="32"/>
          <w:lang w:val="en-US" w:eastAsia="zh-CN"/>
        </w:rPr>
      </w:pPr>
      <w:bookmarkStart w:id="130" w:name="_Toc20496"/>
      <w:r>
        <w:rPr>
          <w:rFonts w:hint="eastAsia"/>
          <w:b/>
          <w:sz w:val="32"/>
          <w:szCs w:val="32"/>
        </w:rPr>
        <w:t>附件</w:t>
      </w:r>
      <w:r>
        <w:rPr>
          <w:rFonts w:hint="eastAsia"/>
          <w:b/>
          <w:sz w:val="32"/>
          <w:szCs w:val="32"/>
          <w:lang w:val="en-US" w:eastAsia="zh-CN"/>
        </w:rPr>
        <w:t>七</w:t>
      </w:r>
      <w:bookmarkEnd w:id="130"/>
    </w:p>
    <w:p>
      <w:pPr>
        <w:spacing w:line="360" w:lineRule="auto"/>
        <w:ind w:firstLine="643" w:firstLineChars="200"/>
        <w:rPr>
          <w:rFonts w:hint="eastAsia" w:asciiTheme="minorEastAsia" w:hAnsiTheme="minorEastAsia"/>
          <w:b/>
          <w:sz w:val="32"/>
          <w:szCs w:val="32"/>
          <w:lang w:val="en-US" w:eastAsia="zh-CN"/>
        </w:rPr>
      </w:pPr>
      <w:r>
        <w:rPr>
          <w:rFonts w:hint="eastAsia" w:asciiTheme="minorEastAsia" w:hAnsiTheme="minorEastAsia"/>
          <w:b/>
          <w:sz w:val="32"/>
          <w:szCs w:val="32"/>
          <w:lang w:val="en-US" w:eastAsia="zh-CN"/>
        </w:rPr>
        <w:t>详细技术参数</w:t>
      </w:r>
    </w:p>
    <w:p>
      <w:pPr>
        <w:spacing w:line="360" w:lineRule="auto"/>
        <w:rPr>
          <w:rFonts w:ascii="仿宋" w:hAnsi="仿宋" w:eastAsia="仿宋" w:cs="宋体"/>
          <w:sz w:val="24"/>
        </w:rPr>
      </w:pPr>
      <w:r>
        <w:rPr>
          <w:rFonts w:hint="eastAsia" w:ascii="仿宋" w:hAnsi="仿宋" w:eastAsia="仿宋" w:cs="宋体"/>
          <w:sz w:val="24"/>
          <w:lang w:val="en-US" w:eastAsia="zh-CN"/>
        </w:rPr>
        <w:t>材</w:t>
      </w:r>
      <w:r>
        <w:rPr>
          <w:rFonts w:hint="eastAsia" w:ascii="仿宋" w:hAnsi="仿宋" w:eastAsia="仿宋" w:cs="宋体"/>
          <w:sz w:val="24"/>
        </w:rPr>
        <w:t>料选择：</w:t>
      </w:r>
    </w:p>
    <w:p>
      <w:pPr>
        <w:spacing w:line="360" w:lineRule="auto"/>
        <w:ind w:firstLine="480" w:firstLineChars="200"/>
        <w:rPr>
          <w:rFonts w:ascii="仿宋" w:hAnsi="仿宋" w:eastAsia="仿宋" w:cs="宋体"/>
          <w:bCs/>
          <w:sz w:val="24"/>
        </w:rPr>
      </w:pPr>
      <w:r>
        <w:rPr>
          <w:rFonts w:hint="eastAsia" w:ascii="仿宋" w:hAnsi="仿宋" w:eastAsia="仿宋" w:cs="宋体"/>
          <w:sz w:val="24"/>
        </w:rPr>
        <w:t>铝合金模板系统：</w:t>
      </w:r>
      <w:r>
        <w:rPr>
          <w:rFonts w:hint="eastAsia" w:ascii="仿宋" w:hAnsi="仿宋" w:eastAsia="仿宋" w:cs="宋体"/>
          <w:bCs/>
          <w:sz w:val="24"/>
        </w:rPr>
        <w:t>铝合金模板材质采用6061-T6铝合金型材，型材化学成分、力学性能应符合国家标准GB/T3190、GB/T6892的规定。铝型材表面采用阳极氧化处理，并符合《铝合金建筑型材》GB/T5237.2中AA15级。</w:t>
      </w:r>
    </w:p>
    <w:p>
      <w:pPr>
        <w:pStyle w:val="29"/>
        <w:spacing w:before="156" w:line="360" w:lineRule="auto"/>
        <w:outlineLvl w:val="0"/>
        <w:rPr>
          <w:rFonts w:ascii="仿宋" w:hAnsi="仿宋" w:eastAsia="仿宋" w:cs="宋体"/>
          <w:b/>
          <w:bCs/>
          <w:sz w:val="24"/>
          <w:szCs w:val="24"/>
        </w:rPr>
      </w:pPr>
      <w:bookmarkStart w:id="131" w:name="_Toc11138"/>
      <w:bookmarkStart w:id="132" w:name="_Toc30070"/>
      <w:r>
        <w:rPr>
          <w:rFonts w:hint="eastAsia" w:ascii="仿宋" w:hAnsi="仿宋" w:eastAsia="仿宋" w:cs="宋体"/>
          <w:b/>
          <w:bCs/>
          <w:sz w:val="24"/>
          <w:szCs w:val="24"/>
        </w:rPr>
        <w:t>铝合金材料的物理性能指标</w:t>
      </w:r>
      <w:bookmarkEnd w:id="131"/>
      <w:bookmarkEnd w:id="132"/>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5"/>
        <w:gridCol w:w="1382"/>
        <w:gridCol w:w="1725"/>
        <w:gridCol w:w="1992"/>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725"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弹性模量</w:t>
            </w:r>
            <w:r>
              <w:rPr>
                <w:rFonts w:hint="eastAsia" w:ascii="仿宋" w:hAnsi="仿宋" w:eastAsia="仿宋" w:cs="宋体"/>
                <w:position w:val="-12"/>
                <w:sz w:val="24"/>
                <w:szCs w:val="24"/>
              </w:rPr>
              <w:object>
                <v:shape id="_x0000_i1025" o:spt="75" type="#_x0000_t75" style="height:18pt;width:15.25pt;" o:ole="t" filled="f" o:preferrelative="t" stroked="f" coordsize="21600,21600">
                  <v:path/>
                  <v:fill on="f" focussize="0,0"/>
                  <v:stroke on="f"/>
                  <v:imagedata r:id="rId11" o:title=""/>
                  <o:lock v:ext="edit" aspectratio="t"/>
                  <w10:wrap type="none"/>
                  <w10:anchorlock/>
                </v:shape>
                <o:OLEObject Type="Embed" ProgID="Equation.DSMT4" ShapeID="_x0000_i1025" DrawAspect="Content" ObjectID="_1468075725" r:id="rId10">
                  <o:LockedField>false</o:LockedField>
                </o:OLEObject>
              </w:object>
            </w:r>
          </w:p>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（N/mm</w:t>
            </w:r>
            <w:r>
              <w:rPr>
                <w:rFonts w:hint="eastAsia" w:ascii="仿宋" w:hAnsi="仿宋" w:eastAsia="仿宋" w:cs="宋体"/>
                <w:kern w:val="2"/>
                <w:sz w:val="24"/>
                <w:szCs w:val="24"/>
                <w:vertAlign w:val="superscript"/>
                <w:lang w:val="en-US" w:eastAsia="zh-CN" w:bidi="ar-SA"/>
              </w:rPr>
              <w:t>2</w:t>
            </w:r>
            <w:r>
              <w:rPr>
                <w:rFonts w:hint="eastAsia" w:ascii="仿宋" w:hAnsi="仿宋" w:eastAsia="仿宋" w:cs="宋体"/>
                <w:kern w:val="2"/>
                <w:sz w:val="24"/>
                <w:szCs w:val="24"/>
                <w:lang w:val="en-US" w:eastAsia="zh-CN" w:bidi="ar-SA"/>
              </w:rPr>
              <w:t>）</w:t>
            </w:r>
          </w:p>
        </w:tc>
        <w:tc>
          <w:tcPr>
            <w:tcW w:w="1382"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泊松比</w:t>
            </w:r>
            <w:r>
              <w:rPr>
                <w:rFonts w:hint="eastAsia" w:ascii="仿宋" w:hAnsi="仿宋" w:eastAsia="仿宋" w:cs="宋体"/>
                <w:position w:val="-12"/>
                <w:sz w:val="24"/>
                <w:szCs w:val="24"/>
              </w:rPr>
              <w:object>
                <v:shape id="_x0000_i1026" o:spt="75" type="#_x0000_t75" style="height:18pt;width:11.75pt;" o:ole="t" filled="f" o:preferrelative="t" stroked="f" coordsize="21600,21600">
                  <v:path/>
                  <v:fill on="f" focussize="0,0"/>
                  <v:stroke on="f"/>
                  <v:imagedata r:id="rId13" o:title=""/>
                  <o:lock v:ext="edit" aspectratio="t"/>
                  <w10:wrap type="none"/>
                  <w10:anchorlock/>
                </v:shape>
                <o:OLEObject Type="Embed" ProgID="Equation.DSMT4" ShapeID="_x0000_i1026" DrawAspect="Content" ObjectID="_1468075726" r:id="rId12">
                  <o:LockedField>false</o:LockedField>
                </o:OLEObject>
              </w:object>
            </w:r>
          </w:p>
        </w:tc>
        <w:tc>
          <w:tcPr>
            <w:tcW w:w="1725"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剪变模量</w:t>
            </w:r>
            <w:r>
              <w:rPr>
                <w:rFonts w:hint="eastAsia" w:ascii="仿宋" w:hAnsi="仿宋" w:eastAsia="仿宋" w:cs="宋体"/>
                <w:position w:val="-12"/>
                <w:sz w:val="24"/>
                <w:szCs w:val="24"/>
              </w:rPr>
              <w:object>
                <v:shape id="_x0000_i1027" o:spt="75" type="#_x0000_t75" style="height:18pt;width:15.25pt;" o:ole="t" filled="f" o:preferrelative="t" stroked="f" coordsize="21600,21600">
                  <v:path/>
                  <v:fill on="f" focussize="0,0"/>
                  <v:stroke on="f"/>
                  <v:imagedata r:id="rId15" o:title=""/>
                  <o:lock v:ext="edit" aspectratio="t"/>
                  <w10:wrap type="none"/>
                  <w10:anchorlock/>
                </v:shape>
                <o:OLEObject Type="Embed" ProgID="Equation.DSMT4" ShapeID="_x0000_i1027" DrawAspect="Content" ObjectID="_1468075727" r:id="rId14">
                  <o:LockedField>false</o:LockedField>
                </o:OLEObject>
              </w:object>
            </w:r>
          </w:p>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（N/mm</w:t>
            </w:r>
            <w:r>
              <w:rPr>
                <w:rFonts w:hint="eastAsia" w:ascii="仿宋" w:hAnsi="仿宋" w:eastAsia="仿宋" w:cs="宋体"/>
                <w:kern w:val="2"/>
                <w:sz w:val="24"/>
                <w:szCs w:val="24"/>
                <w:vertAlign w:val="superscript"/>
                <w:lang w:val="en-US" w:eastAsia="zh-CN" w:bidi="ar-SA"/>
              </w:rPr>
              <w:t>2</w:t>
            </w:r>
            <w:r>
              <w:rPr>
                <w:rFonts w:hint="eastAsia" w:ascii="仿宋" w:hAnsi="仿宋" w:eastAsia="仿宋" w:cs="宋体"/>
                <w:kern w:val="2"/>
                <w:sz w:val="24"/>
                <w:szCs w:val="24"/>
                <w:lang w:val="en-US" w:eastAsia="zh-CN" w:bidi="ar-SA"/>
              </w:rPr>
              <w:t>）</w:t>
            </w:r>
          </w:p>
        </w:tc>
        <w:tc>
          <w:tcPr>
            <w:tcW w:w="1992"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线膨胀系数</w:t>
            </w:r>
            <w:r>
              <w:rPr>
                <w:rFonts w:hint="eastAsia" w:ascii="仿宋" w:hAnsi="仿宋" w:eastAsia="仿宋" w:cs="宋体"/>
                <w:position w:val="-12"/>
                <w:sz w:val="24"/>
                <w:szCs w:val="24"/>
              </w:rPr>
              <w:object>
                <v:shape id="_x0000_i1028" o:spt="75" type="#_x0000_t75" style="height:18pt;width:15.25pt;" o:ole="t" filled="f" o:preferrelative="t" stroked="f" coordsize="21600,21600">
                  <v:path/>
                  <v:fill on="f" focussize="0,0"/>
                  <v:stroke on="f"/>
                  <v:imagedata r:id="rId17" o:title=""/>
                  <o:lock v:ext="edit" aspectratio="t"/>
                  <w10:wrap type="none"/>
                  <w10:anchorlock/>
                </v:shape>
                <o:OLEObject Type="Embed" ProgID="Equation.DSMT4" ShapeID="_x0000_i1028" DrawAspect="Content" ObjectID="_1468075728" r:id="rId16">
                  <o:LockedField>false</o:LockedField>
                </o:OLEObject>
              </w:object>
            </w:r>
          </w:p>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698"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质量密度</w:t>
            </w:r>
            <w:r>
              <w:rPr>
                <w:rFonts w:hint="eastAsia" w:ascii="仿宋" w:hAnsi="仿宋" w:eastAsia="仿宋" w:cs="宋体"/>
                <w:position w:val="-12"/>
                <w:sz w:val="24"/>
                <w:szCs w:val="24"/>
              </w:rPr>
              <w:object>
                <v:shape id="_x0000_i1029" o:spt="75" type="#_x0000_t75" style="height:18pt;width:13.85pt;" o:ole="t" filled="f" o:preferrelative="t" stroked="f" coordsize="21600,21600">
                  <v:path/>
                  <v:fill on="f" focussize="0,0"/>
                  <v:stroke on="f"/>
                  <v:imagedata r:id="rId19" o:title=""/>
                  <o:lock v:ext="edit" aspectratio="t"/>
                  <w10:wrap type="none"/>
                  <w10:anchorlock/>
                </v:shape>
                <o:OLEObject Type="Embed" ProgID="Equation.DSMT4" ShapeID="_x0000_i1029" DrawAspect="Content" ObjectID="_1468075729" r:id="rId18">
                  <o:LockedField>false</o:LockedField>
                </o:OLEObject>
              </w:object>
            </w:r>
          </w:p>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（kg/m</w:t>
            </w:r>
            <w:r>
              <w:rPr>
                <w:rFonts w:hint="eastAsia" w:ascii="仿宋" w:hAnsi="仿宋" w:eastAsia="仿宋" w:cs="宋体"/>
                <w:kern w:val="2"/>
                <w:sz w:val="24"/>
                <w:szCs w:val="24"/>
                <w:vertAlign w:val="superscript"/>
                <w:lang w:val="en-US" w:eastAsia="zh-CN" w:bidi="ar-SA"/>
              </w:rPr>
              <w:t>3</w:t>
            </w:r>
            <w:r>
              <w:rPr>
                <w:rFonts w:hint="eastAsia" w:ascii="仿宋" w:hAnsi="仿宋" w:eastAsia="仿宋" w:cs="宋体"/>
                <w:kern w:val="2"/>
                <w:sz w:val="24"/>
                <w:szCs w:val="24"/>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1725"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70000</w:t>
            </w:r>
          </w:p>
        </w:tc>
        <w:tc>
          <w:tcPr>
            <w:tcW w:w="1382"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0.3</w:t>
            </w:r>
          </w:p>
        </w:tc>
        <w:tc>
          <w:tcPr>
            <w:tcW w:w="1725"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27000</w:t>
            </w:r>
          </w:p>
        </w:tc>
        <w:tc>
          <w:tcPr>
            <w:tcW w:w="1992"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23×10</w:t>
            </w:r>
            <w:r>
              <w:rPr>
                <w:rFonts w:hint="eastAsia" w:ascii="仿宋" w:hAnsi="仿宋" w:eastAsia="仿宋" w:cs="宋体"/>
                <w:kern w:val="2"/>
                <w:sz w:val="24"/>
                <w:szCs w:val="24"/>
                <w:vertAlign w:val="superscript"/>
                <w:lang w:val="en-US" w:eastAsia="zh-CN" w:bidi="ar-SA"/>
              </w:rPr>
              <w:t>-6</w:t>
            </w:r>
          </w:p>
        </w:tc>
        <w:tc>
          <w:tcPr>
            <w:tcW w:w="1698"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2700</w:t>
            </w:r>
          </w:p>
        </w:tc>
      </w:tr>
    </w:tbl>
    <w:p>
      <w:pPr>
        <w:pStyle w:val="29"/>
        <w:spacing w:before="156" w:line="360" w:lineRule="auto"/>
        <w:outlineLvl w:val="0"/>
        <w:rPr>
          <w:rFonts w:ascii="仿宋" w:hAnsi="仿宋" w:eastAsia="仿宋" w:cs="宋体"/>
          <w:b/>
          <w:bCs/>
          <w:sz w:val="24"/>
          <w:szCs w:val="24"/>
        </w:rPr>
      </w:pPr>
      <w:r>
        <w:rPr>
          <w:rFonts w:hint="eastAsia" w:ascii="仿宋" w:hAnsi="仿宋" w:eastAsia="仿宋" w:cs="宋体"/>
          <w:b/>
          <w:bCs/>
          <w:sz w:val="24"/>
          <w:szCs w:val="24"/>
        </w:rPr>
        <w:t xml:space="preserve">  </w:t>
      </w:r>
      <w:bookmarkStart w:id="133" w:name="_Toc17560"/>
      <w:bookmarkStart w:id="134" w:name="_Toc24753"/>
      <w:r>
        <w:rPr>
          <w:rFonts w:hint="eastAsia" w:ascii="仿宋" w:hAnsi="仿宋" w:eastAsia="仿宋" w:cs="宋体"/>
          <w:b/>
          <w:bCs/>
          <w:sz w:val="24"/>
          <w:szCs w:val="24"/>
        </w:rPr>
        <w:t>铝合金材料的室温纵向拉伸力学性能</w:t>
      </w:r>
      <w:bookmarkEnd w:id="133"/>
      <w:bookmarkEnd w:id="134"/>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946"/>
        <w:gridCol w:w="1387"/>
        <w:gridCol w:w="1406"/>
        <w:gridCol w:w="1607"/>
        <w:gridCol w:w="1205"/>
        <w:gridCol w:w="9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005" w:type="dxa"/>
            <w:vMerge w:val="restart"/>
            <w:tcBorders>
              <w:top w:val="single" w:color="auto" w:sz="12" w:space="0"/>
              <w:lef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牌号</w:t>
            </w:r>
          </w:p>
        </w:tc>
        <w:tc>
          <w:tcPr>
            <w:tcW w:w="946" w:type="dxa"/>
            <w:vMerge w:val="restart"/>
            <w:tcBorders>
              <w:top w:val="single" w:color="auto" w:sz="12"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状态</w:t>
            </w:r>
          </w:p>
        </w:tc>
        <w:tc>
          <w:tcPr>
            <w:tcW w:w="1387" w:type="dxa"/>
            <w:vMerge w:val="restart"/>
            <w:tcBorders>
              <w:top w:val="single" w:color="auto" w:sz="12"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厚度(mm)</w:t>
            </w:r>
          </w:p>
        </w:tc>
        <w:tc>
          <w:tcPr>
            <w:tcW w:w="1406" w:type="dxa"/>
            <w:vMerge w:val="restart"/>
            <w:tcBorders>
              <w:top w:val="single" w:color="auto" w:sz="12" w:space="0"/>
              <w:bottom w:val="nil"/>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抗拉强度</w:t>
            </w:r>
          </w:p>
          <w:p>
            <w:pPr>
              <w:pStyle w:val="30"/>
              <w:widowControl w:val="0"/>
              <w:spacing w:line="360" w:lineRule="auto"/>
              <w:jc w:val="center"/>
              <w:rPr>
                <w:rFonts w:ascii="仿宋" w:hAnsi="仿宋" w:eastAsia="仿宋" w:cs="宋体"/>
                <w:iCs/>
                <w:kern w:val="2"/>
                <w:sz w:val="24"/>
                <w:szCs w:val="24"/>
                <w:vertAlign w:val="subscript"/>
                <w:lang w:val="en-US" w:eastAsia="zh-CN" w:bidi="ar-SA"/>
              </w:rPr>
            </w:pPr>
            <w:r>
              <w:rPr>
                <w:rFonts w:hint="eastAsia" w:ascii="仿宋" w:hAnsi="仿宋" w:eastAsia="仿宋" w:cs="宋体"/>
                <w:iCs/>
                <w:position w:val="-12"/>
                <w:sz w:val="24"/>
                <w:szCs w:val="24"/>
              </w:rPr>
              <w:object>
                <v:shape id="_x0000_i1030" o:spt="75" type="#_x0000_t75" style="height:18pt;width:17.3pt;" o:ole="t" filled="f" o:preferrelative="t" stroked="f" coordsize="21600,21600">
                  <v:path/>
                  <v:fill on="f" focussize="0,0"/>
                  <v:stroke on="f"/>
                  <v:imagedata r:id="rId21" o:title=""/>
                  <o:lock v:ext="edit" aspectratio="t"/>
                  <w10:wrap type="none"/>
                  <w10:anchorlock/>
                </v:shape>
                <o:OLEObject Type="Embed" ProgID="Equation.DSMT4" ShapeID="_x0000_i1030" DrawAspect="Content" ObjectID="_1468075730" r:id="rId20">
                  <o:LockedField>false</o:LockedField>
                </o:OLEObject>
              </w:object>
            </w:r>
            <w:r>
              <w:rPr>
                <w:rFonts w:hint="eastAsia" w:ascii="仿宋" w:hAnsi="仿宋" w:eastAsia="仿宋" w:cs="宋体"/>
                <w:kern w:val="2"/>
                <w:sz w:val="24"/>
                <w:szCs w:val="24"/>
                <w:lang w:val="en-US" w:eastAsia="zh-CN" w:bidi="ar-SA"/>
              </w:rPr>
              <w:t>（N/mm</w:t>
            </w:r>
            <w:r>
              <w:rPr>
                <w:rFonts w:hint="eastAsia" w:ascii="仿宋" w:hAnsi="仿宋" w:eastAsia="仿宋" w:cs="宋体"/>
                <w:kern w:val="2"/>
                <w:sz w:val="24"/>
                <w:szCs w:val="24"/>
                <w:vertAlign w:val="superscript"/>
                <w:lang w:val="en-US" w:eastAsia="zh-CN" w:bidi="ar-SA"/>
              </w:rPr>
              <w:t>2</w:t>
            </w:r>
            <w:r>
              <w:rPr>
                <w:rFonts w:hint="eastAsia" w:ascii="仿宋" w:hAnsi="仿宋" w:eastAsia="仿宋" w:cs="宋体"/>
                <w:kern w:val="2"/>
                <w:sz w:val="24"/>
                <w:szCs w:val="24"/>
                <w:lang w:val="en-US" w:eastAsia="zh-CN" w:bidi="ar-SA"/>
              </w:rPr>
              <w:t>）</w:t>
            </w:r>
          </w:p>
        </w:tc>
        <w:tc>
          <w:tcPr>
            <w:tcW w:w="1607" w:type="dxa"/>
            <w:vMerge w:val="restart"/>
            <w:tcBorders>
              <w:top w:val="single" w:color="auto" w:sz="12"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规定非比例</w:t>
            </w:r>
          </w:p>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延伸强度</w:t>
            </w:r>
          </w:p>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iCs/>
                <w:position w:val="-12"/>
                <w:sz w:val="24"/>
                <w:szCs w:val="24"/>
              </w:rPr>
              <w:object>
                <v:shape id="_x0000_i1031" o:spt="75" type="#_x0000_t75" style="height:18pt;width:18.7pt;" o:ole="t" filled="f" o:preferrelative="t" stroked="f" coordsize="21600,21600">
                  <v:path/>
                  <v:fill on="f" focussize="0,0"/>
                  <v:stroke on="f"/>
                  <v:imagedata r:id="rId23" o:title=""/>
                  <o:lock v:ext="edit" aspectratio="t"/>
                  <w10:wrap type="none"/>
                  <w10:anchorlock/>
                </v:shape>
                <o:OLEObject Type="Embed" ProgID="Equation.DSMT4" ShapeID="_x0000_i1031" DrawAspect="Content" ObjectID="_1468075731" r:id="rId22">
                  <o:LockedField>false</o:LockedField>
                </o:OLEObject>
              </w:object>
            </w:r>
            <w:r>
              <w:rPr>
                <w:rFonts w:hint="eastAsia" w:ascii="仿宋" w:hAnsi="仿宋" w:eastAsia="仿宋" w:cs="宋体"/>
                <w:kern w:val="2"/>
                <w:sz w:val="24"/>
                <w:szCs w:val="24"/>
                <w:lang w:val="en-US" w:eastAsia="zh-CN" w:bidi="ar-SA"/>
              </w:rPr>
              <w:t>（N/mm</w:t>
            </w:r>
            <w:r>
              <w:rPr>
                <w:rFonts w:hint="eastAsia" w:ascii="仿宋" w:hAnsi="仿宋" w:eastAsia="仿宋" w:cs="宋体"/>
                <w:kern w:val="2"/>
                <w:sz w:val="24"/>
                <w:szCs w:val="24"/>
                <w:vertAlign w:val="superscript"/>
                <w:lang w:val="en-US" w:eastAsia="zh-CN" w:bidi="ar-SA"/>
              </w:rPr>
              <w:t>2</w:t>
            </w:r>
            <w:r>
              <w:rPr>
                <w:rFonts w:hint="eastAsia" w:ascii="仿宋" w:hAnsi="仿宋" w:eastAsia="仿宋" w:cs="宋体"/>
                <w:kern w:val="2"/>
                <w:sz w:val="24"/>
                <w:szCs w:val="24"/>
                <w:lang w:val="en-US" w:eastAsia="zh-CN" w:bidi="ar-SA"/>
              </w:rPr>
              <w:t>）</w:t>
            </w:r>
          </w:p>
        </w:tc>
        <w:tc>
          <w:tcPr>
            <w:tcW w:w="2171" w:type="dxa"/>
            <w:gridSpan w:val="2"/>
            <w:tcBorders>
              <w:top w:val="single" w:color="auto" w:sz="12" w:space="0"/>
              <w:righ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断后伸长率/%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005" w:type="dxa"/>
            <w:vMerge w:val="continue"/>
            <w:tcBorders>
              <w:lef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946" w:type="dxa"/>
            <w:vMerge w:val="continue"/>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1387" w:type="dxa"/>
            <w:vMerge w:val="continue"/>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1406" w:type="dxa"/>
            <w:vMerge w:val="continue"/>
            <w:tcBorders>
              <w:top w:val="nil"/>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1607" w:type="dxa"/>
            <w:vMerge w:val="continue"/>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1205" w:type="dxa"/>
            <w:noWrap w:val="0"/>
            <w:vAlign w:val="center"/>
          </w:tcPr>
          <w:p>
            <w:pPr>
              <w:pStyle w:val="30"/>
              <w:widowControl w:val="0"/>
              <w:spacing w:line="360" w:lineRule="auto"/>
              <w:jc w:val="center"/>
              <w:rPr>
                <w:rFonts w:ascii="仿宋" w:hAnsi="仿宋" w:eastAsia="仿宋" w:cs="宋体"/>
                <w:iCs/>
                <w:kern w:val="2"/>
                <w:sz w:val="24"/>
                <w:szCs w:val="24"/>
                <w:lang w:val="en-US" w:eastAsia="zh-CN" w:bidi="ar-SA"/>
              </w:rPr>
            </w:pPr>
            <w:r>
              <w:rPr>
                <w:rFonts w:hint="eastAsia" w:ascii="仿宋" w:hAnsi="仿宋" w:eastAsia="仿宋" w:cs="宋体"/>
                <w:i/>
                <w:iCs/>
                <w:kern w:val="2"/>
                <w:sz w:val="24"/>
                <w:szCs w:val="24"/>
                <w:lang w:val="en-US" w:eastAsia="zh-CN" w:bidi="ar-SA"/>
              </w:rPr>
              <w:t>A</w:t>
            </w:r>
            <w:r>
              <w:rPr>
                <w:rFonts w:hint="eastAsia" w:ascii="仿宋" w:hAnsi="仿宋" w:eastAsia="仿宋" w:cs="宋体"/>
                <w:iCs/>
                <w:kern w:val="2"/>
                <w:sz w:val="24"/>
                <w:szCs w:val="24"/>
                <w:vertAlign w:val="subscript"/>
                <w:lang w:val="en-US" w:eastAsia="zh-CN" w:bidi="ar-SA"/>
              </w:rPr>
              <w:t>5.65</w:t>
            </w:r>
          </w:p>
        </w:tc>
        <w:tc>
          <w:tcPr>
            <w:tcW w:w="966" w:type="dxa"/>
            <w:tcBorders>
              <w:right w:val="single" w:color="auto" w:sz="4" w:space="0"/>
            </w:tcBorders>
            <w:noWrap w:val="0"/>
            <w:vAlign w:val="center"/>
          </w:tcPr>
          <w:p>
            <w:pPr>
              <w:pStyle w:val="30"/>
              <w:widowControl w:val="0"/>
              <w:spacing w:line="360" w:lineRule="auto"/>
              <w:jc w:val="center"/>
              <w:rPr>
                <w:rFonts w:ascii="仿宋" w:hAnsi="仿宋" w:eastAsia="仿宋" w:cs="宋体"/>
                <w:spacing w:val="-6"/>
                <w:kern w:val="2"/>
                <w:sz w:val="24"/>
                <w:szCs w:val="24"/>
                <w:vertAlign w:val="superscript"/>
                <w:lang w:val="en-US" w:eastAsia="zh-CN" w:bidi="ar-SA"/>
              </w:rPr>
            </w:pPr>
            <w:r>
              <w:rPr>
                <w:rFonts w:hint="eastAsia" w:ascii="仿宋" w:hAnsi="仿宋" w:eastAsia="仿宋" w:cs="宋体"/>
                <w:i/>
                <w:iCs/>
                <w:kern w:val="2"/>
                <w:sz w:val="24"/>
                <w:szCs w:val="24"/>
                <w:lang w:val="en-US" w:eastAsia="zh-CN" w:bidi="ar-SA"/>
              </w:rPr>
              <w:t>A</w:t>
            </w:r>
            <w:r>
              <w:rPr>
                <w:rFonts w:hint="eastAsia" w:ascii="仿宋" w:hAnsi="仿宋" w:eastAsia="仿宋" w:cs="宋体"/>
                <w:kern w:val="2"/>
                <w:sz w:val="24"/>
                <w:szCs w:val="24"/>
                <w:vertAlign w:val="subscript"/>
                <w:lang w:val="en-US" w:eastAsia="zh-CN" w:bidi="ar-SA"/>
              </w:rPr>
              <w:t>50mm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005" w:type="dxa"/>
            <w:vMerge w:val="continue"/>
            <w:tcBorders>
              <w:lef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946" w:type="dxa"/>
            <w:vMerge w:val="continue"/>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1387" w:type="dxa"/>
            <w:vMerge w:val="continue"/>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5184" w:type="dxa"/>
            <w:gridSpan w:val="4"/>
            <w:tcBorders>
              <w:righ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不  小  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005" w:type="dxa"/>
            <w:vMerge w:val="restart"/>
            <w:tcBorders>
              <w:lef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6061</w:t>
            </w:r>
          </w:p>
        </w:tc>
        <w:tc>
          <w:tcPr>
            <w:tcW w:w="946" w:type="dxa"/>
            <w:vMerge w:val="restart"/>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T6</w:t>
            </w:r>
          </w:p>
        </w:tc>
        <w:tc>
          <w:tcPr>
            <w:tcW w:w="1387"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w:t>
            </w:r>
          </w:p>
        </w:tc>
        <w:tc>
          <w:tcPr>
            <w:tcW w:w="1406"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260</w:t>
            </w:r>
          </w:p>
        </w:tc>
        <w:tc>
          <w:tcPr>
            <w:tcW w:w="1607"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240</w:t>
            </w:r>
          </w:p>
        </w:tc>
        <w:tc>
          <w:tcPr>
            <w:tcW w:w="1205"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966" w:type="dxa"/>
            <w:tcBorders>
              <w:righ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005" w:type="dxa"/>
            <w:vMerge w:val="continue"/>
            <w:tcBorders>
              <w:lef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946" w:type="dxa"/>
            <w:vMerge w:val="continue"/>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p>
        </w:tc>
        <w:tc>
          <w:tcPr>
            <w:tcW w:w="1387"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＞5~25</w:t>
            </w:r>
          </w:p>
        </w:tc>
        <w:tc>
          <w:tcPr>
            <w:tcW w:w="1406"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260</w:t>
            </w:r>
          </w:p>
        </w:tc>
        <w:tc>
          <w:tcPr>
            <w:tcW w:w="1607"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240</w:t>
            </w:r>
          </w:p>
        </w:tc>
        <w:tc>
          <w:tcPr>
            <w:tcW w:w="1205" w:type="dxa"/>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10</w:t>
            </w:r>
          </w:p>
        </w:tc>
        <w:tc>
          <w:tcPr>
            <w:tcW w:w="966" w:type="dxa"/>
            <w:tcBorders>
              <w:right w:val="single" w:color="auto" w:sz="4" w:space="0"/>
            </w:tcBorders>
            <w:noWrap w:val="0"/>
            <w:vAlign w:val="center"/>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8</w:t>
            </w:r>
          </w:p>
        </w:tc>
      </w:tr>
    </w:tbl>
    <w:p>
      <w:pPr>
        <w:spacing w:line="360" w:lineRule="auto"/>
        <w:ind w:firstLine="480" w:firstLineChars="200"/>
        <w:rPr>
          <w:rFonts w:ascii="仿宋" w:hAnsi="仿宋" w:eastAsia="仿宋" w:cs="宋体"/>
          <w:sz w:val="24"/>
        </w:rPr>
      </w:pPr>
    </w:p>
    <w:p>
      <w:pPr>
        <w:spacing w:line="360" w:lineRule="auto"/>
        <w:ind w:firstLine="480" w:firstLineChars="200"/>
        <w:rPr>
          <w:rFonts w:ascii="仿宋" w:hAnsi="仿宋" w:eastAsia="仿宋" w:cs="宋体"/>
          <w:bCs/>
          <w:sz w:val="24"/>
        </w:rPr>
      </w:pPr>
      <w:r>
        <w:rPr>
          <w:rFonts w:hint="eastAsia" w:ascii="仿宋" w:hAnsi="仿宋" w:eastAsia="仿宋" w:cs="宋体"/>
          <w:bCs/>
          <w:sz w:val="24"/>
        </w:rPr>
        <w:t>铝合金模板系统的钢支撑、钢背楞、拉杆、子弹销采用Q235B或Q345钢材，应符合现行国家标准《碳素结构钢》GB/T700、《低合金高强度结构钢》GB/T1591的规定。</w:t>
      </w:r>
    </w:p>
    <w:p>
      <w:pPr>
        <w:spacing w:line="360" w:lineRule="auto"/>
        <w:ind w:firstLine="480" w:firstLineChars="200"/>
        <w:rPr>
          <w:rFonts w:ascii="仿宋" w:hAnsi="仿宋" w:eastAsia="仿宋" w:cs="宋体"/>
          <w:bCs/>
          <w:sz w:val="24"/>
        </w:rPr>
      </w:pPr>
      <w:r>
        <w:rPr>
          <w:rFonts w:hint="eastAsia" w:ascii="仿宋" w:hAnsi="仿宋" w:eastAsia="仿宋" w:cs="宋体"/>
          <w:bCs/>
          <w:sz w:val="24"/>
        </w:rPr>
        <w:t>钢背楞的尺寸不小于40*60*3mm。</w:t>
      </w:r>
    </w:p>
    <w:p>
      <w:pPr>
        <w:spacing w:line="360" w:lineRule="auto"/>
        <w:ind w:firstLine="480" w:firstLineChars="200"/>
        <w:rPr>
          <w:rFonts w:ascii="仿宋" w:hAnsi="仿宋" w:eastAsia="仿宋" w:cs="宋体"/>
          <w:bCs/>
          <w:sz w:val="24"/>
        </w:rPr>
      </w:pPr>
      <w:r>
        <w:rPr>
          <w:rFonts w:hint="eastAsia" w:ascii="仿宋" w:hAnsi="仿宋" w:eastAsia="仿宋" w:cs="宋体"/>
          <w:bCs/>
          <w:sz w:val="24"/>
        </w:rPr>
        <w:t>埋件、钢支撑、钢背楞、销子、锲片、支顶表面采用热浸镀锌处理，镀锌层厚度不小于60μm。</w:t>
      </w:r>
    </w:p>
    <w:p>
      <w:pPr>
        <w:spacing w:line="360" w:lineRule="auto"/>
        <w:ind w:firstLine="480" w:firstLineChars="200"/>
        <w:rPr>
          <w:rFonts w:ascii="仿宋" w:hAnsi="仿宋" w:eastAsia="仿宋" w:cs="宋体"/>
          <w:bCs/>
          <w:color w:val="000000"/>
          <w:sz w:val="24"/>
        </w:rPr>
      </w:pPr>
      <w:r>
        <w:rPr>
          <w:rFonts w:hint="eastAsia" w:ascii="仿宋" w:hAnsi="仿宋" w:eastAsia="仿宋" w:cs="宋体"/>
          <w:bCs/>
          <w:sz w:val="24"/>
        </w:rPr>
        <w:t>胶管、杯头为PVC材质，须与拉杆配套使用。胶管管径</w:t>
      </w:r>
      <w:r>
        <w:rPr>
          <w:rFonts w:hint="eastAsia" w:ascii="仿宋" w:hAnsi="仿宋" w:eastAsia="仿宋" w:cs="宋体"/>
          <w:bCs/>
          <w:color w:val="000000"/>
          <w:sz w:val="24"/>
        </w:rPr>
        <w:t>φ32×3.2，外径32mm，内径26mm，</w:t>
      </w:r>
      <w:r>
        <w:rPr>
          <w:rFonts w:hint="eastAsia" w:ascii="仿宋" w:hAnsi="仿宋" w:eastAsia="仿宋" w:cs="宋体"/>
          <w:bCs/>
          <w:sz w:val="24"/>
        </w:rPr>
        <w:t>胶管长度允许误差±1mm</w:t>
      </w:r>
      <w:r>
        <w:rPr>
          <w:rFonts w:hint="eastAsia" w:ascii="仿宋" w:hAnsi="仿宋" w:eastAsia="仿宋" w:cs="宋体"/>
          <w:bCs/>
          <w:color w:val="000000"/>
          <w:sz w:val="24"/>
        </w:rPr>
        <w:t>。杯头外径为45/24mm，内径22mm。</w:t>
      </w:r>
    </w:p>
    <w:p>
      <w:pPr>
        <w:spacing w:line="360" w:lineRule="auto"/>
        <w:jc w:val="center"/>
        <w:outlineLvl w:val="1"/>
        <w:rPr>
          <w:rFonts w:ascii="仿宋" w:hAnsi="仿宋" w:eastAsia="仿宋" w:cs="宋体"/>
          <w:bCs/>
          <w:sz w:val="24"/>
        </w:rPr>
      </w:pPr>
      <w:bookmarkStart w:id="135" w:name="_Toc28400"/>
      <w:bookmarkStart w:id="136" w:name="_Toc10214"/>
      <w:r>
        <w:rPr>
          <w:rFonts w:hint="eastAsia" w:ascii="仿宋" w:hAnsi="仿宋" w:eastAsia="仿宋" w:cs="宋体"/>
          <w:bCs/>
          <w:sz w:val="24"/>
        </w:rPr>
        <w:t>铝模板标准件规格表</w:t>
      </w:r>
      <w:bookmarkEnd w:id="135"/>
      <w:bookmarkEnd w:id="136"/>
    </w:p>
    <w:tbl>
      <w:tblPr>
        <w:tblStyle w:val="16"/>
        <w:tblW w:w="9716"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7"/>
        <w:gridCol w:w="2376"/>
        <w:gridCol w:w="1437"/>
        <w:gridCol w:w="1294"/>
        <w:gridCol w:w="1413"/>
        <w:gridCol w:w="1056"/>
        <w:gridCol w:w="9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名称</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照片</w:t>
            </w:r>
          </w:p>
        </w:tc>
        <w:tc>
          <w:tcPr>
            <w:tcW w:w="1482"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宽度</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（mm）</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长度</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（mm）</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加筋肋板</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（mm）</w:t>
            </w: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面板厚度</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(mm)</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边框高度</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1"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墙身模板</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w:t>
            </w:r>
            <w:r>
              <w:rPr>
                <w:rFonts w:hint="eastAsia" w:ascii="仿宋" w:hAnsi="仿宋" w:eastAsia="仿宋" w:cs="宋体"/>
                <w:b/>
                <w:kern w:val="2"/>
                <w:sz w:val="24"/>
                <w:szCs w:val="24"/>
                <w:lang w:val="en-US" w:eastAsia="zh-CN" w:bidi="ar-SA"/>
              </w:rPr>
              <w:t xml:space="preserve">W </w:t>
            </w:r>
            <w:r>
              <w:rPr>
                <w:rFonts w:hint="eastAsia" w:ascii="仿宋" w:hAnsi="仿宋" w:eastAsia="仿宋" w:cs="宋体"/>
                <w:kern w:val="2"/>
                <w:sz w:val="24"/>
                <w:szCs w:val="24"/>
                <w:lang w:val="en-US" w:eastAsia="zh-CN" w:bidi="ar-SA"/>
              </w:rPr>
              <w:t>)</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ascii="仿宋" w:hAnsi="仿宋" w:eastAsia="仿宋" w:cs="宋体"/>
                <w:sz w:val="24"/>
              </w:rPr>
              <w:drawing>
                <wp:inline distT="0" distB="0" distL="114300" distR="114300">
                  <wp:extent cx="861060" cy="1327150"/>
                  <wp:effectExtent l="0" t="0" r="2540" b="6350"/>
                  <wp:docPr id="6" name="图片 8" descr="400 W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8" descr="400 WE 2875"/>
                          <pic:cNvPicPr>
                            <a:picLocks noChangeAspect="1"/>
                          </pic:cNvPicPr>
                        </pic:nvPicPr>
                        <pic:blipFill>
                          <a:blip r:embed="rId24"/>
                          <a:stretch>
                            <a:fillRect/>
                          </a:stretch>
                        </pic:blipFill>
                        <pic:spPr>
                          <a:xfrm>
                            <a:off x="0" y="0"/>
                            <a:ext cx="861060" cy="1327150"/>
                          </a:xfrm>
                          <a:prstGeom prst="rect">
                            <a:avLst/>
                          </a:prstGeom>
                          <a:noFill/>
                          <a:ln>
                            <a:noFill/>
                          </a:ln>
                        </pic:spPr>
                      </pic:pic>
                    </a:graphicData>
                  </a:graphic>
                </wp:inline>
              </w:drawing>
            </w:r>
          </w:p>
        </w:tc>
        <w:tc>
          <w:tcPr>
            <w:tcW w:w="1482"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400，450为准，100，150，200，300辅助。</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楼层净高扣除转角板、角铝高度</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厚度6mm，型材板l肋高30，铝板肋高50</w:t>
            </w: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3.5~4.0</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墙身</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内转角</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w:t>
            </w:r>
            <w:r>
              <w:rPr>
                <w:rFonts w:hint="eastAsia" w:ascii="仿宋" w:hAnsi="仿宋" w:eastAsia="仿宋" w:cs="宋体"/>
                <w:b/>
                <w:kern w:val="2"/>
                <w:sz w:val="24"/>
                <w:szCs w:val="24"/>
                <w:lang w:val="en-US" w:eastAsia="zh-CN" w:bidi="ar-SA"/>
              </w:rPr>
              <w:t>IC</w:t>
            </w:r>
            <w:r>
              <w:rPr>
                <w:rFonts w:hint="eastAsia" w:ascii="仿宋" w:hAnsi="仿宋" w:eastAsia="仿宋" w:cs="宋体"/>
                <w:kern w:val="2"/>
                <w:sz w:val="24"/>
                <w:szCs w:val="24"/>
                <w:lang w:val="en-US" w:eastAsia="zh-CN" w:bidi="ar-SA"/>
              </w:rPr>
              <w:t xml:space="preserve"> )</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ascii="仿宋" w:hAnsi="仿宋" w:eastAsia="仿宋" w:cs="宋体"/>
                <w:sz w:val="24"/>
              </w:rPr>
              <w:drawing>
                <wp:inline distT="0" distB="0" distL="114300" distR="114300">
                  <wp:extent cx="756285" cy="967105"/>
                  <wp:effectExtent l="0" t="0" r="5715" b="10795"/>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pic:cNvPicPr>
                            <a:picLocks noChangeAspect="1"/>
                          </pic:cNvPicPr>
                        </pic:nvPicPr>
                        <pic:blipFill>
                          <a:blip r:embed="rId25"/>
                          <a:stretch>
                            <a:fillRect/>
                          </a:stretch>
                        </pic:blipFill>
                        <pic:spPr>
                          <a:xfrm>
                            <a:off x="0" y="0"/>
                            <a:ext cx="756285" cy="967105"/>
                          </a:xfrm>
                          <a:prstGeom prst="rect">
                            <a:avLst/>
                          </a:prstGeom>
                          <a:noFill/>
                          <a:ln>
                            <a:noFill/>
                          </a:ln>
                        </pic:spPr>
                      </pic:pic>
                    </a:graphicData>
                  </a:graphic>
                </wp:inline>
              </w:drawing>
            </w:r>
          </w:p>
        </w:tc>
        <w:tc>
          <w:tcPr>
            <w:tcW w:w="1482"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150 x 150，100 x 150，</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100 x 100</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楼层净高扣除转角板、角铝高度</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3.5~4.0</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墙身外转角</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w:t>
            </w:r>
            <w:r>
              <w:rPr>
                <w:rFonts w:hint="eastAsia" w:ascii="仿宋" w:hAnsi="仿宋" w:eastAsia="仿宋" w:cs="宋体"/>
                <w:b/>
                <w:kern w:val="2"/>
                <w:sz w:val="24"/>
                <w:szCs w:val="24"/>
                <w:lang w:val="en-US" w:eastAsia="zh-CN" w:bidi="ar-SA"/>
              </w:rPr>
              <w:t xml:space="preserve">EC </w:t>
            </w:r>
            <w:r>
              <w:rPr>
                <w:rFonts w:hint="eastAsia" w:ascii="仿宋" w:hAnsi="仿宋" w:eastAsia="仿宋" w:cs="宋体"/>
                <w:kern w:val="2"/>
                <w:sz w:val="24"/>
                <w:szCs w:val="24"/>
                <w:lang w:val="en-US" w:eastAsia="zh-CN" w:bidi="ar-SA"/>
              </w:rPr>
              <w:t>)</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ascii="仿宋" w:hAnsi="仿宋" w:eastAsia="仿宋" w:cs="宋体"/>
                <w:sz w:val="24"/>
              </w:rPr>
              <w:drawing>
                <wp:inline distT="0" distB="0" distL="114300" distR="114300">
                  <wp:extent cx="817245" cy="1108075"/>
                  <wp:effectExtent l="0" t="0" r="8255" b="9525"/>
                  <wp:docPr id="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
                          <pic:cNvPicPr>
                            <a:picLocks noChangeAspect="1"/>
                          </pic:cNvPicPr>
                        </pic:nvPicPr>
                        <pic:blipFill>
                          <a:blip r:embed="rId26"/>
                          <a:stretch>
                            <a:fillRect/>
                          </a:stretch>
                        </pic:blipFill>
                        <pic:spPr>
                          <a:xfrm>
                            <a:off x="0" y="0"/>
                            <a:ext cx="817245" cy="1108075"/>
                          </a:xfrm>
                          <a:prstGeom prst="rect">
                            <a:avLst/>
                          </a:prstGeom>
                          <a:noFill/>
                          <a:ln>
                            <a:noFill/>
                          </a:ln>
                        </pic:spPr>
                      </pic:pic>
                    </a:graphicData>
                  </a:graphic>
                </wp:inline>
              </w:drawing>
            </w:r>
          </w:p>
        </w:tc>
        <w:tc>
          <w:tcPr>
            <w:tcW w:w="1482" w:type="dxa"/>
            <w:noWrap w:val="0"/>
            <w:vAlign w:val="center"/>
          </w:tcPr>
          <w:p>
            <w:pPr>
              <w:widowControl w:val="0"/>
              <w:spacing w:line="360" w:lineRule="auto"/>
              <w:jc w:val="center"/>
              <w:rPr>
                <w:rFonts w:hint="default"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63.5 x 63.5</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楼层净高扣除转角板、角铝高度</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6.0</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楼面模板</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w:t>
            </w:r>
            <w:r>
              <w:rPr>
                <w:rFonts w:hint="eastAsia" w:ascii="仿宋" w:hAnsi="仿宋" w:eastAsia="仿宋" w:cs="宋体"/>
                <w:b/>
                <w:kern w:val="2"/>
                <w:sz w:val="24"/>
                <w:szCs w:val="24"/>
                <w:lang w:val="en-US" w:eastAsia="zh-CN" w:bidi="ar-SA"/>
              </w:rPr>
              <w:t>D</w:t>
            </w:r>
            <w:r>
              <w:rPr>
                <w:rFonts w:hint="eastAsia" w:ascii="仿宋" w:hAnsi="仿宋" w:eastAsia="仿宋" w:cs="宋体"/>
                <w:kern w:val="2"/>
                <w:sz w:val="24"/>
                <w:szCs w:val="24"/>
                <w:lang w:val="en-US" w:eastAsia="zh-CN" w:bidi="ar-SA"/>
              </w:rPr>
              <w:t xml:space="preserve"> )</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ascii="仿宋" w:hAnsi="仿宋" w:eastAsia="仿宋" w:cs="宋体"/>
                <w:sz w:val="24"/>
              </w:rPr>
              <w:drawing>
                <wp:inline distT="0" distB="0" distL="114300" distR="114300">
                  <wp:extent cx="1213485" cy="659130"/>
                  <wp:effectExtent l="0" t="0" r="5715" b="1270"/>
                  <wp:docPr id="7" name="图片 11" descr="400 D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descr="400 D 1100"/>
                          <pic:cNvPicPr>
                            <a:picLocks noChangeAspect="1"/>
                          </pic:cNvPicPr>
                        </pic:nvPicPr>
                        <pic:blipFill>
                          <a:blip r:embed="rId27"/>
                          <a:stretch>
                            <a:fillRect/>
                          </a:stretch>
                        </pic:blipFill>
                        <pic:spPr>
                          <a:xfrm>
                            <a:off x="0" y="0"/>
                            <a:ext cx="1213485" cy="659130"/>
                          </a:xfrm>
                          <a:prstGeom prst="rect">
                            <a:avLst/>
                          </a:prstGeom>
                          <a:noFill/>
                          <a:ln>
                            <a:noFill/>
                          </a:ln>
                        </pic:spPr>
                      </pic:pic>
                    </a:graphicData>
                  </a:graphic>
                </wp:inline>
              </w:drawing>
            </w:r>
          </w:p>
        </w:tc>
        <w:tc>
          <w:tcPr>
            <w:tcW w:w="1482"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400，450为准，100，150，200，300辅助。</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750，900，1050，1200</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厚度6mm，型材板l肋高30，铝板肋高50</w:t>
            </w: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3.5~4.0</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楼面转角</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r>
              <w:rPr>
                <w:rFonts w:hint="eastAsia" w:ascii="仿宋" w:hAnsi="仿宋" w:eastAsia="仿宋" w:cs="宋体"/>
                <w:b/>
                <w:kern w:val="2"/>
                <w:sz w:val="24"/>
                <w:szCs w:val="24"/>
                <w:lang w:val="en-US" w:eastAsia="zh-CN" w:bidi="ar-SA"/>
              </w:rPr>
              <w:t xml:space="preserve"> SC</w:t>
            </w:r>
            <w:r>
              <w:rPr>
                <w:rFonts w:hint="eastAsia" w:ascii="仿宋" w:hAnsi="仿宋" w:eastAsia="仿宋" w:cs="宋体"/>
                <w:kern w:val="2"/>
                <w:sz w:val="24"/>
                <w:szCs w:val="24"/>
                <w:lang w:val="en-US" w:eastAsia="zh-CN" w:bidi="ar-SA"/>
              </w:rPr>
              <w:t xml:space="preserve"> )</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ascii="仿宋" w:hAnsi="仿宋" w:eastAsia="仿宋" w:cs="宋体"/>
                <w:sz w:val="24"/>
              </w:rPr>
              <w:drawing>
                <wp:inline distT="0" distB="0" distL="114300" distR="114300">
                  <wp:extent cx="1363345" cy="589280"/>
                  <wp:effectExtent l="0" t="0" r="8255" b="7620"/>
                  <wp:docPr id="8" name="图片 12" descr="sl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2" descr="sl1100"/>
                          <pic:cNvPicPr>
                            <a:picLocks noChangeAspect="1"/>
                          </pic:cNvPicPr>
                        </pic:nvPicPr>
                        <pic:blipFill>
                          <a:blip r:embed="rId28"/>
                          <a:stretch>
                            <a:fillRect/>
                          </a:stretch>
                        </pic:blipFill>
                        <pic:spPr>
                          <a:xfrm>
                            <a:off x="0" y="0"/>
                            <a:ext cx="1363345" cy="589280"/>
                          </a:xfrm>
                          <a:prstGeom prst="rect">
                            <a:avLst/>
                          </a:prstGeom>
                          <a:noFill/>
                          <a:ln>
                            <a:noFill/>
                          </a:ln>
                        </pic:spPr>
                      </pic:pic>
                    </a:graphicData>
                  </a:graphic>
                </wp:inline>
              </w:drawing>
            </w:r>
          </w:p>
        </w:tc>
        <w:tc>
          <w:tcPr>
            <w:tcW w:w="1482"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150 x 150，100 x 150，</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125 x150</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450，750，900，1200，1800，2400</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3.5~4.0</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0" w:hRule="atLeast"/>
        </w:trPr>
        <w:tc>
          <w:tcPr>
            <w:tcW w:w="117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楼面龙骨</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r>
              <w:rPr>
                <w:rFonts w:hint="eastAsia" w:ascii="仿宋" w:hAnsi="仿宋" w:eastAsia="仿宋" w:cs="宋体"/>
                <w:b/>
                <w:kern w:val="2"/>
                <w:sz w:val="24"/>
                <w:szCs w:val="24"/>
                <w:lang w:val="en-US" w:eastAsia="zh-CN" w:bidi="ar-SA"/>
              </w:rPr>
              <w:t>EB MB</w:t>
            </w:r>
            <w:r>
              <w:rPr>
                <w:rFonts w:hint="eastAsia" w:ascii="仿宋" w:hAnsi="仿宋" w:eastAsia="仿宋" w:cs="宋体"/>
                <w:kern w:val="2"/>
                <w:sz w:val="24"/>
                <w:szCs w:val="24"/>
                <w:lang w:val="en-US" w:eastAsia="zh-CN" w:bidi="ar-SA"/>
              </w:rPr>
              <w:t>）</w:t>
            </w:r>
          </w:p>
        </w:tc>
        <w:tc>
          <w:tcPr>
            <w:tcW w:w="2250"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ascii="仿宋" w:hAnsi="仿宋" w:eastAsia="仿宋" w:cs="宋体"/>
                <w:sz w:val="24"/>
              </w:rPr>
              <w:drawing>
                <wp:inline distT="0" distB="0" distL="114300" distR="114300">
                  <wp:extent cx="1292860" cy="377825"/>
                  <wp:effectExtent l="0" t="0" r="2540" b="3175"/>
                  <wp:docPr id="2" name="图片 13" descr="mb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descr="mb1000"/>
                          <pic:cNvPicPr>
                            <a:picLocks noChangeAspect="1"/>
                          </pic:cNvPicPr>
                        </pic:nvPicPr>
                        <pic:blipFill>
                          <a:blip r:embed="rId29"/>
                          <a:stretch>
                            <a:fillRect/>
                          </a:stretch>
                        </pic:blipFill>
                        <pic:spPr>
                          <a:xfrm>
                            <a:off x="0" y="0"/>
                            <a:ext cx="1292860" cy="377825"/>
                          </a:xfrm>
                          <a:prstGeom prst="rect">
                            <a:avLst/>
                          </a:prstGeom>
                          <a:noFill/>
                          <a:ln>
                            <a:noFill/>
                          </a:ln>
                        </pic:spPr>
                      </pic:pic>
                    </a:graphicData>
                  </a:graphic>
                </wp:inline>
              </w:drawing>
            </w:r>
          </w:p>
        </w:tc>
        <w:tc>
          <w:tcPr>
            <w:tcW w:w="1482"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150</w:t>
            </w:r>
          </w:p>
        </w:tc>
        <w:tc>
          <w:tcPr>
            <w:tcW w:w="1327"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750，900，1050</w:t>
            </w:r>
          </w:p>
        </w:tc>
        <w:tc>
          <w:tcPr>
            <w:tcW w:w="145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50</w:t>
            </w:r>
          </w:p>
        </w:tc>
        <w:tc>
          <w:tcPr>
            <w:tcW w:w="1015"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3.0~4.0</w:t>
            </w:r>
          </w:p>
        </w:tc>
        <w:tc>
          <w:tcPr>
            <w:tcW w:w="100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60</w:t>
            </w:r>
          </w:p>
        </w:tc>
      </w:tr>
    </w:tbl>
    <w:p>
      <w:pPr>
        <w:spacing w:line="360" w:lineRule="auto"/>
        <w:rPr>
          <w:rFonts w:ascii="仿宋" w:hAnsi="仿宋" w:eastAsia="仿宋" w:cs="宋体"/>
          <w:bCs/>
          <w:sz w:val="24"/>
        </w:rPr>
      </w:pPr>
      <w:r>
        <w:rPr>
          <w:rFonts w:hint="eastAsia" w:ascii="仿宋" w:hAnsi="仿宋" w:eastAsia="仿宋" w:cs="宋体"/>
          <w:bCs/>
          <w:sz w:val="24"/>
        </w:rPr>
        <w:t>铝合金模板截面尺寸应符合设计和使用要求，并应符合下列规定：</w:t>
      </w:r>
    </w:p>
    <w:p>
      <w:pPr>
        <w:spacing w:line="360" w:lineRule="auto"/>
        <w:ind w:firstLine="420"/>
        <w:rPr>
          <w:rFonts w:ascii="仿宋" w:hAnsi="仿宋" w:eastAsia="仿宋" w:cs="宋体"/>
          <w:bCs/>
          <w:sz w:val="24"/>
        </w:rPr>
      </w:pPr>
      <w:r>
        <w:rPr>
          <w:rFonts w:hint="eastAsia" w:ascii="仿宋" w:hAnsi="仿宋" w:eastAsia="仿宋" w:cs="宋体"/>
          <w:bCs/>
          <w:sz w:val="24"/>
        </w:rPr>
        <w:t>1  平面模板的边肋、端肋实测壁厚不得小于6mm，面板实测厚度不得小于3.5mm，且厚跨比不得小于1/100；</w:t>
      </w:r>
    </w:p>
    <w:p>
      <w:pPr>
        <w:spacing w:line="360" w:lineRule="auto"/>
        <w:ind w:firstLine="420"/>
        <w:rPr>
          <w:rFonts w:ascii="仿宋" w:hAnsi="仿宋" w:eastAsia="仿宋" w:cs="宋体"/>
          <w:bCs/>
          <w:sz w:val="24"/>
        </w:rPr>
      </w:pPr>
      <w:r>
        <w:rPr>
          <w:rFonts w:hint="eastAsia" w:ascii="仿宋" w:hAnsi="仿宋" w:eastAsia="仿宋" w:cs="宋体"/>
          <w:bCs/>
          <w:sz w:val="24"/>
        </w:rPr>
        <w:t>2  阳角模板实测厚度不得小于6m；</w:t>
      </w:r>
    </w:p>
    <w:p>
      <w:pPr>
        <w:numPr>
          <w:ilvl w:val="0"/>
          <w:numId w:val="23"/>
        </w:numPr>
        <w:spacing w:line="360" w:lineRule="auto"/>
        <w:rPr>
          <w:rFonts w:ascii="仿宋" w:hAnsi="仿宋" w:eastAsia="仿宋" w:cs="宋体"/>
          <w:b/>
          <w:color w:val="000000"/>
          <w:sz w:val="24"/>
        </w:rPr>
      </w:pPr>
      <w:r>
        <w:rPr>
          <w:rFonts w:hint="eastAsia" w:ascii="仿宋" w:hAnsi="仿宋" w:eastAsia="仿宋" w:cs="宋体"/>
          <w:bCs/>
          <w:sz w:val="24"/>
        </w:rPr>
        <w:t xml:space="preserve"> 阴角模板实测厚度不得小于3.5mm。</w:t>
      </w:r>
    </w:p>
    <w:p>
      <w:pPr>
        <w:spacing w:line="360" w:lineRule="auto"/>
        <w:rPr>
          <w:rFonts w:ascii="仿宋" w:hAnsi="仿宋" w:eastAsia="仿宋" w:cs="宋体"/>
          <w:bCs/>
          <w:color w:val="000000"/>
          <w:sz w:val="24"/>
        </w:rPr>
      </w:pPr>
      <w:r>
        <w:rPr>
          <w:rFonts w:hint="eastAsia" w:ascii="仿宋" w:hAnsi="仿宋" w:eastAsia="仿宋" w:cs="宋体"/>
          <w:bCs/>
          <w:color w:val="000000"/>
          <w:sz w:val="24"/>
        </w:rPr>
        <w:t>铝模板系统设计要求：</w:t>
      </w:r>
    </w:p>
    <w:p>
      <w:pPr>
        <w:spacing w:line="360" w:lineRule="auto"/>
        <w:rPr>
          <w:rFonts w:ascii="仿宋" w:hAnsi="仿宋" w:eastAsia="仿宋" w:cs="宋体"/>
          <w:b/>
          <w:color w:val="000000"/>
          <w:sz w:val="24"/>
        </w:rPr>
      </w:pPr>
      <w:r>
        <w:rPr>
          <w:rFonts w:hint="eastAsia" w:ascii="仿宋" w:hAnsi="仿宋" w:eastAsia="仿宋" w:cs="宋体"/>
          <w:sz w:val="24"/>
        </w:rPr>
        <w:t>1、根据施工图纸进行深化设计、配模，采用一套模板体系及三套支撑体系以满足现场施工要求。模板设计应根据工程图纸及施工要求进行，设计内容应包括配模图（模板的规格和尺寸）、组装图、节点大样图、配件图以及说明书。设计说明书应明确支模、拆模程序和方法等内容。同时进场前，要对各单元进行预拼装并验收合格。</w:t>
      </w:r>
    </w:p>
    <w:p>
      <w:pPr>
        <w:spacing w:line="360" w:lineRule="auto"/>
        <w:ind w:firstLine="480" w:firstLineChars="200"/>
        <w:rPr>
          <w:rFonts w:ascii="仿宋" w:hAnsi="仿宋" w:eastAsia="仿宋" w:cs="宋体"/>
          <w:sz w:val="24"/>
        </w:rPr>
      </w:pPr>
      <w:r>
        <w:rPr>
          <w:rFonts w:hint="eastAsia" w:ascii="仿宋" w:hAnsi="仿宋" w:eastAsia="仿宋" w:cs="宋体"/>
          <w:sz w:val="24"/>
        </w:rPr>
        <w:t>1.1 采用早拆体系，应有足够的承载力、刚度和稳定性，应能可靠地承受新浇混凝土的自重、侧压力、风荷载和施工过程中所产生的荷载。</w:t>
      </w:r>
    </w:p>
    <w:p>
      <w:pPr>
        <w:spacing w:line="360" w:lineRule="auto"/>
        <w:ind w:firstLine="480" w:firstLineChars="200"/>
        <w:rPr>
          <w:rFonts w:ascii="仿宋" w:hAnsi="仿宋" w:eastAsia="仿宋" w:cs="宋体"/>
          <w:sz w:val="24"/>
        </w:rPr>
      </w:pPr>
      <w:r>
        <w:rPr>
          <w:rFonts w:hint="eastAsia" w:ascii="仿宋" w:hAnsi="仿宋" w:eastAsia="仿宋" w:cs="宋体"/>
          <w:sz w:val="24"/>
        </w:rPr>
        <w:t>1.2 构造应简单，拆装方便，便于钢筋的绑扎、安装和混凝土的浇筑、养护。</w:t>
      </w:r>
    </w:p>
    <w:p>
      <w:pPr>
        <w:spacing w:line="360" w:lineRule="auto"/>
        <w:ind w:firstLine="480" w:firstLineChars="200"/>
        <w:rPr>
          <w:rFonts w:ascii="仿宋" w:hAnsi="仿宋" w:eastAsia="仿宋" w:cs="宋体"/>
          <w:sz w:val="24"/>
        </w:rPr>
      </w:pPr>
      <w:r>
        <w:rPr>
          <w:rFonts w:hint="eastAsia" w:ascii="仿宋" w:hAnsi="仿宋" w:eastAsia="仿宋" w:cs="宋体"/>
          <w:sz w:val="24"/>
        </w:rPr>
        <w:t>1.3 当验算模板及其支架在自重和风荷载作用下的抗倾覆稳定性时，应符合相应材质结构设计规范的规定。</w:t>
      </w:r>
    </w:p>
    <w:p>
      <w:pPr>
        <w:pStyle w:val="5"/>
        <w:keepNext w:val="0"/>
        <w:keepLines w:val="0"/>
        <w:numPr>
          <w:ilvl w:val="4"/>
          <w:numId w:val="0"/>
        </w:numPr>
        <w:tabs>
          <w:tab w:val="left" w:pos="-1530"/>
        </w:tabs>
        <w:spacing w:before="0" w:after="0" w:line="360" w:lineRule="auto"/>
        <w:ind w:left="-2" w:leftChars="-1" w:right="210" w:rightChars="100"/>
        <w:rPr>
          <w:rFonts w:ascii="仿宋" w:hAnsi="仿宋" w:eastAsia="仿宋" w:cs="宋体"/>
          <w:b w:val="0"/>
          <w:sz w:val="24"/>
          <w:szCs w:val="24"/>
        </w:rPr>
      </w:pPr>
      <w:r>
        <w:rPr>
          <w:rFonts w:hint="eastAsia" w:ascii="仿宋" w:hAnsi="仿宋" w:eastAsia="仿宋" w:cs="宋体"/>
          <w:b w:val="0"/>
          <w:sz w:val="24"/>
          <w:szCs w:val="24"/>
        </w:rPr>
        <w:t>2、铝模的深化设计应包括下列内容：</w:t>
      </w:r>
    </w:p>
    <w:p>
      <w:pPr>
        <w:spacing w:line="360" w:lineRule="auto"/>
        <w:ind w:firstLine="480" w:firstLineChars="200"/>
        <w:rPr>
          <w:rFonts w:ascii="仿宋" w:hAnsi="仿宋" w:eastAsia="仿宋" w:cs="宋体"/>
          <w:sz w:val="24"/>
        </w:rPr>
      </w:pPr>
      <w:r>
        <w:rPr>
          <w:rFonts w:hint="eastAsia" w:ascii="仿宋" w:hAnsi="仿宋" w:eastAsia="仿宋" w:cs="宋体"/>
          <w:sz w:val="24"/>
        </w:rPr>
        <w:t>2.1 根据混凝土的施工工艺和季节性施工措施，确定其构造和所承受的荷载。</w:t>
      </w:r>
    </w:p>
    <w:p>
      <w:pPr>
        <w:spacing w:line="360" w:lineRule="auto"/>
        <w:ind w:firstLine="480" w:firstLineChars="200"/>
        <w:rPr>
          <w:rFonts w:ascii="仿宋" w:hAnsi="仿宋" w:eastAsia="仿宋" w:cs="宋体"/>
          <w:sz w:val="24"/>
        </w:rPr>
      </w:pPr>
      <w:r>
        <w:rPr>
          <w:rFonts w:hint="eastAsia" w:ascii="仿宋" w:hAnsi="仿宋" w:eastAsia="仿宋" w:cs="宋体"/>
          <w:sz w:val="24"/>
        </w:rPr>
        <w:t>2.2 绘制模板的设计图、支撑设计布置图、斜撑布置图、细部构造和异型模板大样图。</w:t>
      </w:r>
    </w:p>
    <w:p>
      <w:pPr>
        <w:spacing w:line="360" w:lineRule="auto"/>
        <w:ind w:firstLine="480" w:firstLineChars="200"/>
        <w:rPr>
          <w:rFonts w:ascii="仿宋" w:hAnsi="仿宋" w:eastAsia="仿宋" w:cs="宋体"/>
          <w:sz w:val="24"/>
        </w:rPr>
      </w:pPr>
      <w:r>
        <w:rPr>
          <w:rFonts w:hint="eastAsia" w:ascii="仿宋" w:hAnsi="仿宋" w:eastAsia="仿宋" w:cs="宋体"/>
          <w:sz w:val="24"/>
        </w:rPr>
        <w:t>2.3 按照模板承受荷载的最不利组合对模板进行验算。</w:t>
      </w:r>
    </w:p>
    <w:p>
      <w:pPr>
        <w:spacing w:line="360" w:lineRule="auto"/>
        <w:ind w:firstLine="480" w:firstLineChars="200"/>
        <w:rPr>
          <w:rFonts w:ascii="仿宋" w:hAnsi="仿宋" w:eastAsia="仿宋" w:cs="宋体"/>
          <w:sz w:val="24"/>
        </w:rPr>
      </w:pPr>
      <w:r>
        <w:rPr>
          <w:rFonts w:hint="eastAsia" w:ascii="仿宋" w:hAnsi="仿宋" w:eastAsia="仿宋" w:cs="宋体"/>
          <w:sz w:val="24"/>
        </w:rPr>
        <w:t>2.4 制定模板安装以及拆除的程序和方法。</w:t>
      </w:r>
    </w:p>
    <w:p>
      <w:pPr>
        <w:spacing w:line="360" w:lineRule="auto"/>
        <w:ind w:firstLine="480" w:firstLineChars="200"/>
        <w:rPr>
          <w:rFonts w:ascii="仿宋" w:hAnsi="仿宋" w:eastAsia="仿宋" w:cs="宋体"/>
          <w:sz w:val="24"/>
        </w:rPr>
      </w:pPr>
      <w:r>
        <w:rPr>
          <w:rFonts w:hint="eastAsia" w:ascii="仿宋" w:hAnsi="仿宋" w:eastAsia="仿宋" w:cs="宋体"/>
          <w:sz w:val="24"/>
        </w:rPr>
        <w:t>2.5 编制模板及其附件的规格、数量汇总表和周转使用计划。</w:t>
      </w:r>
    </w:p>
    <w:p>
      <w:pPr>
        <w:spacing w:line="360" w:lineRule="auto"/>
        <w:ind w:firstLine="480" w:firstLineChars="200"/>
        <w:rPr>
          <w:rFonts w:ascii="仿宋" w:hAnsi="仿宋" w:eastAsia="仿宋" w:cs="宋体"/>
          <w:sz w:val="24"/>
        </w:rPr>
      </w:pPr>
      <w:r>
        <w:rPr>
          <w:rFonts w:hint="eastAsia" w:ascii="仿宋" w:hAnsi="仿宋" w:eastAsia="仿宋" w:cs="宋体"/>
          <w:sz w:val="24"/>
        </w:rPr>
        <w:t>2.6 编制模板施工安全措施及设计、施工说明书。</w:t>
      </w:r>
    </w:p>
    <w:p>
      <w:pPr>
        <w:spacing w:line="360" w:lineRule="auto"/>
        <w:ind w:firstLine="480" w:firstLineChars="200"/>
        <w:rPr>
          <w:rFonts w:ascii="仿宋" w:hAnsi="仿宋" w:eastAsia="仿宋" w:cs="宋体"/>
          <w:sz w:val="24"/>
        </w:rPr>
      </w:pPr>
      <w:r>
        <w:rPr>
          <w:rFonts w:hint="eastAsia" w:ascii="仿宋" w:hAnsi="仿宋" w:eastAsia="仿宋" w:cs="宋体"/>
          <w:sz w:val="24"/>
        </w:rPr>
        <w:t>2.7 铝模详细的结构计算书。</w:t>
      </w:r>
    </w:p>
    <w:p>
      <w:pPr>
        <w:numPr>
          <w:ilvl w:val="0"/>
          <w:numId w:val="24"/>
        </w:numPr>
        <w:spacing w:line="360" w:lineRule="auto"/>
        <w:rPr>
          <w:rFonts w:ascii="仿宋" w:hAnsi="仿宋" w:eastAsia="仿宋" w:cs="宋体"/>
          <w:sz w:val="24"/>
        </w:rPr>
      </w:pPr>
      <w:r>
        <w:rPr>
          <w:rFonts w:hint="eastAsia" w:ascii="仿宋" w:hAnsi="仿宋" w:eastAsia="仿宋" w:cs="宋体"/>
          <w:sz w:val="24"/>
        </w:rPr>
        <w:t>铝模板的布置方法和规则</w:t>
      </w:r>
    </w:p>
    <w:p>
      <w:pPr>
        <w:spacing w:line="360" w:lineRule="auto"/>
        <w:ind w:firstLine="480" w:firstLineChars="200"/>
        <w:rPr>
          <w:rFonts w:ascii="仿宋" w:hAnsi="仿宋" w:eastAsia="仿宋" w:cs="宋体"/>
          <w:sz w:val="24"/>
        </w:rPr>
      </w:pPr>
      <w:r>
        <w:rPr>
          <w:rFonts w:hint="eastAsia" w:ascii="仿宋" w:hAnsi="仿宋" w:eastAsia="仿宋" w:cs="宋体"/>
          <w:sz w:val="24"/>
        </w:rPr>
        <w:t>配板设计时，在满足承载力和刚度要求的前提下应优先选用标准模板，根据工程特点，主要是优先考虑使用标准构件，模板设计时，按标准构件尺寸从大到小进行排放，最后一个构件可能是非标板。</w:t>
      </w:r>
    </w:p>
    <w:p>
      <w:pPr>
        <w:spacing w:line="360" w:lineRule="auto"/>
        <w:ind w:firstLine="480" w:firstLineChars="200"/>
        <w:outlineLvl w:val="1"/>
        <w:rPr>
          <w:rFonts w:ascii="仿宋" w:hAnsi="仿宋" w:eastAsia="仿宋" w:cs="宋体"/>
          <w:sz w:val="24"/>
        </w:rPr>
      </w:pPr>
      <w:bookmarkStart w:id="137" w:name="_Toc13953"/>
      <w:bookmarkStart w:id="138" w:name="_Toc8141"/>
      <w:r>
        <w:rPr>
          <w:rFonts w:hint="eastAsia" w:ascii="仿宋" w:hAnsi="仿宋" w:eastAsia="仿宋" w:cs="宋体"/>
          <w:sz w:val="24"/>
        </w:rPr>
        <w:t>3.1、 墙身模板</w:t>
      </w:r>
      <w:bookmarkEnd w:id="137"/>
      <w:bookmarkEnd w:id="138"/>
    </w:p>
    <w:p>
      <w:pPr>
        <w:spacing w:line="360" w:lineRule="auto"/>
        <w:ind w:firstLine="720" w:firstLineChars="300"/>
        <w:rPr>
          <w:rFonts w:ascii="仿宋" w:hAnsi="仿宋" w:eastAsia="仿宋" w:cs="宋体"/>
          <w:sz w:val="24"/>
        </w:rPr>
      </w:pPr>
      <w:r>
        <w:rPr>
          <w:rFonts w:hint="eastAsia" w:ascii="仿宋" w:hAnsi="仿宋" w:eastAsia="仿宋" w:cs="宋体"/>
          <w:sz w:val="24"/>
        </w:rPr>
        <w:t>墙身模板的布置设计从共用墙的阴角开始，第一个构件是内转角（IC），再用450mm等宽度的标准构件逐个排放，直到最后一个非标构件。本项目主要为双拼建筑，独栋建筑为双拼模板拆分，增加共用墙处非标准尺寸模板，其中1-1B配1套附加共用墙纵横墙交界处模板，2-2B配1套附加共用墙纵横墙交界处模板，3-3B配2套附加共用墙纵横墙交界处模板，4-4B配2套附加共用墙纵横墙交界处模板。如下图所示：</w:t>
      </w:r>
    </w:p>
    <w:p>
      <w:pPr>
        <w:spacing w:line="360" w:lineRule="auto"/>
        <w:rPr>
          <w:rFonts w:ascii="宋体" w:hAnsi="宋体" w:cs="宋体"/>
          <w:sz w:val="24"/>
        </w:rPr>
      </w:pPr>
      <w:r>
        <w:rPr>
          <w:rFonts w:hint="eastAsia" w:ascii="宋体" w:hAnsi="宋体" w:cs="宋体"/>
          <w:sz w:val="24"/>
        </w:rPr>
        <w:t xml:space="preserve">                        </w:t>
      </w:r>
    </w:p>
    <w:p>
      <w:pPr>
        <w:spacing w:line="360" w:lineRule="auto"/>
        <w:rPr>
          <w:rFonts w:ascii="仿宋" w:hAnsi="仿宋" w:eastAsia="仿宋" w:cs="宋体"/>
          <w:sz w:val="24"/>
        </w:rPr>
      </w:pPr>
      <w:r>
        <w:rPr>
          <w:rFonts w:hint="eastAsia" w:ascii="仿宋" w:hAnsi="仿宋" w:eastAsia="仿宋" w:cs="宋体"/>
          <w:sz w:val="24"/>
        </w:rPr>
        <w:t>双拼拆独栋附加模板示意图</w:t>
      </w:r>
    </w:p>
    <w:p>
      <w:pPr>
        <w:spacing w:line="360" w:lineRule="auto"/>
        <w:rPr>
          <w:rFonts w:ascii="宋体" w:hAnsi="宋体" w:cs="宋体"/>
          <w:sz w:val="24"/>
        </w:rPr>
      </w:pPr>
      <w:r>
        <w:drawing>
          <wp:inline distT="0" distB="0" distL="114300" distR="114300">
            <wp:extent cx="5401945" cy="2797175"/>
            <wp:effectExtent l="0" t="0" r="8255" b="9525"/>
            <wp:docPr id="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4"/>
                    <pic:cNvPicPr>
                      <a:picLocks noChangeAspect="1"/>
                    </pic:cNvPicPr>
                  </pic:nvPicPr>
                  <pic:blipFill>
                    <a:blip r:embed="rId30"/>
                    <a:stretch>
                      <a:fillRect/>
                    </a:stretch>
                  </pic:blipFill>
                  <pic:spPr>
                    <a:xfrm>
                      <a:off x="0" y="0"/>
                      <a:ext cx="5401945" cy="2797175"/>
                    </a:xfrm>
                    <a:prstGeom prst="rect">
                      <a:avLst/>
                    </a:prstGeom>
                    <a:noFill/>
                    <a:ln>
                      <a:noFill/>
                    </a:ln>
                  </pic:spPr>
                </pic:pic>
              </a:graphicData>
            </a:graphic>
          </wp:inline>
        </w:drawing>
      </w:r>
    </w:p>
    <w:p>
      <w:pPr>
        <w:spacing w:line="360" w:lineRule="auto"/>
        <w:ind w:firstLine="480" w:firstLineChars="200"/>
        <w:outlineLvl w:val="1"/>
        <w:rPr>
          <w:rFonts w:ascii="仿宋" w:hAnsi="仿宋" w:eastAsia="仿宋" w:cs="宋体"/>
          <w:sz w:val="24"/>
        </w:rPr>
      </w:pPr>
      <w:bookmarkStart w:id="139" w:name="_Toc21969"/>
      <w:bookmarkStart w:id="140" w:name="_Toc22223"/>
      <w:r>
        <w:rPr>
          <w:rFonts w:hint="eastAsia" w:ascii="仿宋" w:hAnsi="仿宋" w:eastAsia="仿宋" w:cs="宋体"/>
          <w:sz w:val="24"/>
        </w:rPr>
        <w:t>3.2 楼面模板的布置方法及规则</w:t>
      </w:r>
      <w:bookmarkEnd w:id="139"/>
      <w:bookmarkEnd w:id="140"/>
    </w:p>
    <w:p>
      <w:pPr>
        <w:spacing w:line="360" w:lineRule="auto"/>
        <w:ind w:firstLine="960" w:firstLineChars="400"/>
        <w:rPr>
          <w:rFonts w:ascii="仿宋" w:hAnsi="仿宋" w:eastAsia="仿宋" w:cs="宋体"/>
          <w:sz w:val="24"/>
        </w:rPr>
      </w:pPr>
      <w:r>
        <w:rPr>
          <w:rFonts w:hint="eastAsia" w:ascii="仿宋" w:hAnsi="仿宋" w:eastAsia="仿宋" w:cs="宋体"/>
          <w:sz w:val="24"/>
        </w:rPr>
        <w:t>楼面模板的布置设计从楼面四周转角开始，四个角落用标准的楼面转角（SC450），其它用标准楼面转角从大至小逐个布置，单边最后一件可能是非标构件。楼面转角设计完成后开始布置楼面板，楼面板也是从一边和顶端用450mm等标准楼面构件逐个布置设计。两排楼面板之间用龙骨做支撑，所有支撑系统两个方向的间距都不能大于1200mm。</w:t>
      </w:r>
    </w:p>
    <w:p>
      <w:pPr>
        <w:spacing w:line="360" w:lineRule="auto"/>
        <w:ind w:firstLine="480" w:firstLineChars="200"/>
        <w:outlineLvl w:val="1"/>
        <w:rPr>
          <w:rFonts w:ascii="仿宋" w:hAnsi="仿宋" w:eastAsia="仿宋" w:cs="宋体"/>
          <w:sz w:val="24"/>
        </w:rPr>
      </w:pPr>
      <w:bookmarkStart w:id="141" w:name="_Toc2326"/>
      <w:bookmarkStart w:id="142" w:name="_Toc28421"/>
      <w:r>
        <w:rPr>
          <w:rFonts w:hint="eastAsia" w:ascii="仿宋" w:hAnsi="仿宋" w:eastAsia="仿宋" w:cs="宋体"/>
          <w:sz w:val="24"/>
        </w:rPr>
        <w:t>3.3尺寸误差修正</w:t>
      </w:r>
      <w:bookmarkEnd w:id="141"/>
      <w:bookmarkEnd w:id="142"/>
    </w:p>
    <w:p>
      <w:pPr>
        <w:spacing w:line="360" w:lineRule="auto"/>
        <w:ind w:firstLine="240" w:firstLineChars="100"/>
        <w:rPr>
          <w:rFonts w:ascii="仿宋" w:hAnsi="仿宋" w:eastAsia="仿宋" w:cs="宋体"/>
          <w:b/>
          <w:color w:val="000000"/>
          <w:sz w:val="24"/>
        </w:rPr>
      </w:pPr>
      <w:r>
        <w:rPr>
          <w:rFonts w:hint="eastAsia" w:ascii="仿宋" w:hAnsi="仿宋" w:eastAsia="仿宋" w:cs="宋体"/>
          <w:sz w:val="24"/>
        </w:rPr>
        <w:t xml:space="preserve">     为避免施工过程中，模板温度变形、接缝不平对模板整体尺寸的影响，模板设计时，所有标准构件尺寸公差控制在-0.5~0 mm，每一组墙、梁、板累计公差不大于5mm。进场安装时负公差导致的间隙，采用PVC胶板填充，使用几层后根据情况再作取消。</w:t>
      </w:r>
    </w:p>
    <w:p>
      <w:pPr>
        <w:spacing w:line="360" w:lineRule="auto"/>
        <w:rPr>
          <w:rFonts w:ascii="仿宋" w:hAnsi="仿宋" w:eastAsia="仿宋" w:cs="宋体"/>
          <w:sz w:val="24"/>
        </w:rPr>
      </w:pPr>
      <w:r>
        <w:rPr>
          <w:rFonts w:hint="eastAsia" w:ascii="仿宋" w:hAnsi="仿宋" w:eastAsia="仿宋" w:cs="宋体"/>
          <w:sz w:val="24"/>
        </w:rPr>
        <w:t>d、铝合金模板制作：铝合金模板在成批生产前和生产后都要进行荷载试验，检验模板强度、刚度和焊接质量等综合性能。</w:t>
      </w:r>
    </w:p>
    <w:p>
      <w:pPr>
        <w:spacing w:line="360" w:lineRule="auto"/>
        <w:ind w:firstLine="480" w:firstLineChars="200"/>
        <w:rPr>
          <w:rFonts w:ascii="仿宋" w:hAnsi="仿宋" w:eastAsia="仿宋" w:cs="宋体"/>
          <w:sz w:val="24"/>
        </w:rPr>
      </w:pPr>
      <w:r>
        <w:rPr>
          <w:rFonts w:hint="eastAsia" w:ascii="仿宋" w:hAnsi="仿宋" w:eastAsia="仿宋" w:cs="宋体"/>
          <w:sz w:val="24"/>
        </w:rPr>
        <w:t>4.1 铝合金模板制作宜采用面板和边肋整体挤压成型工艺，减少分体焊接，边肋的凸棱倾角，应按标准图尺寸控制。</w:t>
      </w:r>
    </w:p>
    <w:p>
      <w:pPr>
        <w:spacing w:line="360" w:lineRule="auto"/>
        <w:ind w:firstLine="480" w:firstLineChars="200"/>
        <w:rPr>
          <w:rFonts w:ascii="仿宋" w:hAnsi="仿宋" w:eastAsia="仿宋" w:cs="宋体"/>
          <w:sz w:val="24"/>
        </w:rPr>
      </w:pPr>
      <w:r>
        <w:rPr>
          <w:rFonts w:hint="eastAsia" w:ascii="仿宋" w:hAnsi="仿宋" w:eastAsia="仿宋" w:cs="宋体"/>
          <w:sz w:val="24"/>
        </w:rPr>
        <w:t>4.2 铝合金模板边肋和端肋上的销孔，应采用机械一次冲孔工艺，孔中心必须在型材中心线上。</w:t>
      </w:r>
    </w:p>
    <w:p>
      <w:pPr>
        <w:spacing w:line="360" w:lineRule="auto"/>
        <w:rPr>
          <w:rFonts w:ascii="仿宋" w:hAnsi="仿宋" w:eastAsia="仿宋" w:cs="宋体"/>
          <w:sz w:val="24"/>
        </w:rPr>
      </w:pPr>
      <w:r>
        <w:rPr>
          <w:rFonts w:hint="eastAsia" w:ascii="仿宋" w:hAnsi="仿宋" w:eastAsia="仿宋" w:cs="宋体"/>
          <w:b/>
          <w:sz w:val="24"/>
        </w:rPr>
        <w:t xml:space="preserve">    </w:t>
      </w:r>
      <w:r>
        <w:rPr>
          <w:rFonts w:hint="eastAsia" w:ascii="仿宋" w:hAnsi="仿宋" w:eastAsia="仿宋" w:cs="宋体"/>
          <w:bCs/>
          <w:sz w:val="24"/>
        </w:rPr>
        <w:t>4.3</w:t>
      </w:r>
      <w:r>
        <w:rPr>
          <w:rFonts w:hint="eastAsia" w:ascii="仿宋" w:hAnsi="仿宋" w:eastAsia="仿宋" w:cs="宋体"/>
          <w:b/>
          <w:sz w:val="24"/>
        </w:rPr>
        <w:t xml:space="preserve"> </w:t>
      </w:r>
      <w:r>
        <w:rPr>
          <w:rFonts w:hint="eastAsia" w:ascii="仿宋" w:hAnsi="仿宋" w:eastAsia="仿宋" w:cs="宋体"/>
          <w:sz w:val="24"/>
        </w:rPr>
        <w:t>铝合金模板系统的组装焊接应根据变形控制的要求采用合理的焊接顺序和方法，并在专用工装和平台上进行作业。铝合金模板系统组装焊接后若出现变形应进行校正。</w:t>
      </w:r>
    </w:p>
    <w:p>
      <w:pPr>
        <w:spacing w:line="360" w:lineRule="auto"/>
        <w:ind w:firstLine="480" w:firstLineChars="200"/>
        <w:rPr>
          <w:rFonts w:ascii="仿宋" w:hAnsi="仿宋" w:eastAsia="仿宋" w:cs="宋体"/>
          <w:sz w:val="24"/>
        </w:rPr>
      </w:pPr>
      <w:r>
        <w:rPr>
          <w:rFonts w:hint="eastAsia" w:ascii="仿宋" w:hAnsi="仿宋" w:eastAsia="仿宋" w:cs="宋体"/>
          <w:sz w:val="24"/>
        </w:rPr>
        <w:t>4.4 铝合金模板的焊接必须牢固可靠，主要受力部位（边肋与板面、端肋与板面、端肋与边肋、内肋之间，拼接板面之间)的焊缝必须满焊，次要部位（内肋与板面）可分段焊。焊接质量应符合《金属材料熔焊质量要求》GB/T 12467.4的规定。</w:t>
      </w:r>
    </w:p>
    <w:p>
      <w:pPr>
        <w:spacing w:line="360" w:lineRule="auto"/>
        <w:ind w:firstLine="480" w:firstLineChars="200"/>
        <w:rPr>
          <w:rFonts w:ascii="仿宋" w:hAnsi="仿宋" w:eastAsia="仿宋" w:cs="宋体"/>
          <w:sz w:val="24"/>
        </w:rPr>
      </w:pPr>
      <w:r>
        <w:rPr>
          <w:rFonts w:hint="eastAsia" w:ascii="仿宋" w:hAnsi="仿宋" w:eastAsia="仿宋" w:cs="宋体"/>
          <w:sz w:val="24"/>
        </w:rPr>
        <w:t>4.5 铝合金模板的焊缝应美观整齐，不得有漏焊、裂纹、气孔、烧穿、塌陷、咬边、未焊透、未熔合等缺陷，飞渣，焊渣应清理干净，外表面的焊点要磨平。</w:t>
      </w:r>
    </w:p>
    <w:p>
      <w:pPr>
        <w:spacing w:line="360" w:lineRule="auto"/>
        <w:ind w:firstLine="480" w:firstLineChars="200"/>
        <w:rPr>
          <w:rFonts w:ascii="仿宋" w:hAnsi="仿宋" w:eastAsia="仿宋" w:cs="宋体"/>
          <w:sz w:val="24"/>
        </w:rPr>
      </w:pPr>
      <w:r>
        <w:rPr>
          <w:rFonts w:hint="eastAsia" w:ascii="仿宋" w:hAnsi="仿宋" w:eastAsia="仿宋" w:cs="宋体"/>
          <w:sz w:val="24"/>
        </w:rPr>
        <w:t xml:space="preserve">4.6 铝合金模板组焊后应整形，使板面平面度和弯曲度达到规定的质量要求，边缘，棱角及孔缘不得有飞边，毛刺平。整形应采用机械整形。如有手工整形不得损伤模板棱角，板面不得留有锤痕。 </w:t>
      </w:r>
    </w:p>
    <w:p>
      <w:pPr>
        <w:spacing w:line="360" w:lineRule="auto"/>
        <w:ind w:firstLine="480" w:firstLineChars="200"/>
        <w:rPr>
          <w:rFonts w:ascii="仿宋" w:hAnsi="仿宋" w:eastAsia="仿宋" w:cs="宋体"/>
          <w:sz w:val="24"/>
        </w:rPr>
      </w:pPr>
      <w:r>
        <w:rPr>
          <w:rFonts w:hint="eastAsia" w:ascii="仿宋" w:hAnsi="仿宋" w:eastAsia="仿宋" w:cs="宋体"/>
          <w:sz w:val="24"/>
        </w:rPr>
        <w:t>4.7 铝合金模板出厂前应对与混凝土接触面进行表面隔离处理，根据要求可选用钝化、喷涂、刷漆等方法。表面处理前应去油、除污、清除干净焊渣。表面处理应均匀，附着力强，表面不宜有皱皮、漏涂、流淌、气泡等缺陷。</w:t>
      </w:r>
    </w:p>
    <w:p>
      <w:pPr>
        <w:spacing w:line="360" w:lineRule="auto"/>
        <w:ind w:firstLine="480" w:firstLineChars="200"/>
        <w:rPr>
          <w:rFonts w:ascii="仿宋" w:hAnsi="仿宋" w:eastAsia="仿宋" w:cs="宋体"/>
          <w:sz w:val="24"/>
        </w:rPr>
      </w:pPr>
      <w:r>
        <w:rPr>
          <w:rFonts w:hint="eastAsia" w:ascii="仿宋" w:hAnsi="仿宋" w:eastAsia="仿宋" w:cs="宋体"/>
          <w:sz w:val="24"/>
        </w:rPr>
        <w:t>4.8 单件铝合金模板生产完毕后应在适当位置上打上型号标记，按种类堆放。应用前铝合金模板应按拼装顺序编码，并清晰标注在适当位置，不应有漏编、错编和标识不清等缺陷。</w:t>
      </w:r>
    </w:p>
    <w:p>
      <w:pPr>
        <w:spacing w:line="360" w:lineRule="auto"/>
        <w:ind w:firstLine="480" w:firstLineChars="200"/>
        <w:rPr>
          <w:rFonts w:ascii="仿宋" w:hAnsi="仿宋" w:eastAsia="仿宋" w:cs="宋体"/>
          <w:sz w:val="24"/>
        </w:rPr>
      </w:pPr>
      <w:r>
        <w:rPr>
          <w:rFonts w:hint="eastAsia" w:ascii="仿宋" w:hAnsi="仿宋" w:eastAsia="仿宋" w:cs="宋体"/>
          <w:sz w:val="24"/>
        </w:rPr>
        <w:t>铝合金模板系统检验</w:t>
      </w:r>
    </w:p>
    <w:p>
      <w:pPr>
        <w:spacing w:before="156" w:beforeLines="50" w:line="360" w:lineRule="auto"/>
        <w:jc w:val="center"/>
        <w:outlineLvl w:val="1"/>
        <w:rPr>
          <w:rFonts w:ascii="仿宋" w:hAnsi="仿宋" w:eastAsia="仿宋" w:cs="宋体"/>
          <w:sz w:val="24"/>
        </w:rPr>
      </w:pPr>
      <w:bookmarkStart w:id="143" w:name="_Toc4616"/>
      <w:bookmarkStart w:id="144" w:name="_Toc29297"/>
      <w:r>
        <w:rPr>
          <w:rFonts w:hint="eastAsia" w:ascii="仿宋" w:hAnsi="仿宋" w:eastAsia="仿宋" w:cs="宋体"/>
          <w:sz w:val="24"/>
        </w:rPr>
        <w:t>铝合金模板制作质量允许偏差表</w:t>
      </w:r>
      <w:bookmarkEnd w:id="143"/>
      <w:bookmarkEnd w:id="144"/>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649"/>
        <w:gridCol w:w="2024"/>
        <w:gridCol w:w="1559"/>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序号</w:t>
            </w:r>
          </w:p>
        </w:tc>
        <w:tc>
          <w:tcPr>
            <w:tcW w:w="2673" w:type="dxa"/>
            <w:gridSpan w:val="2"/>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项     目</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标准尺寸</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允许偏差（mm）</w:t>
            </w:r>
          </w:p>
        </w:tc>
        <w:tc>
          <w:tcPr>
            <w:tcW w:w="127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w:t>
            </w:r>
          </w:p>
        </w:tc>
        <w:tc>
          <w:tcPr>
            <w:tcW w:w="649" w:type="dxa"/>
            <w:vMerge w:val="restart"/>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外形</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尺寸</w:t>
            </w: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板面长度</w:t>
            </w:r>
          </w:p>
        </w:tc>
        <w:tc>
          <w:tcPr>
            <w:tcW w:w="1559" w:type="dxa"/>
            <w:noWrap w:val="0"/>
            <w:vAlign w:val="center"/>
          </w:tcPr>
          <w:p>
            <w:pPr>
              <w:widowControl w:val="0"/>
              <w:spacing w:line="360" w:lineRule="auto"/>
              <w:jc w:val="center"/>
              <w:rPr>
                <w:rFonts w:ascii="仿宋" w:hAnsi="仿宋" w:eastAsia="仿宋" w:cs="宋体"/>
                <w:i/>
                <w:kern w:val="2"/>
                <w:sz w:val="24"/>
                <w:szCs w:val="24"/>
                <w:lang w:val="en-US" w:eastAsia="zh-CN" w:bidi="ar-SA"/>
              </w:rPr>
            </w:pPr>
            <w:r>
              <w:rPr>
                <w:rFonts w:hint="eastAsia" w:ascii="仿宋" w:hAnsi="仿宋" w:eastAsia="仿宋" w:cs="宋体"/>
                <w:i/>
                <w:kern w:val="2"/>
                <w:sz w:val="24"/>
                <w:szCs w:val="24"/>
                <w:lang w:val="en-US" w:eastAsia="zh-CN" w:bidi="ar-SA"/>
              </w:rPr>
              <w:t>L</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（0/-0.5）</w:t>
            </w:r>
          </w:p>
        </w:tc>
        <w:tc>
          <w:tcPr>
            <w:tcW w:w="127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钢尺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vMerge w:val="restart"/>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板面宽度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i/>
                <w:kern w:val="2"/>
                <w:sz w:val="24"/>
                <w:szCs w:val="24"/>
                <w:lang w:val="en-US" w:eastAsia="zh-CN" w:bidi="ar-SA"/>
              </w:rPr>
              <w:t>B</w:t>
            </w:r>
            <w:r>
              <w:rPr>
                <w:rFonts w:hint="eastAsia" w:ascii="仿宋" w:hAnsi="仿宋" w:eastAsia="仿宋" w:cs="宋体"/>
                <w:kern w:val="2"/>
                <w:sz w:val="24"/>
                <w:szCs w:val="24"/>
                <w:lang w:val="en-US" w:eastAsia="zh-CN" w:bidi="ar-SA"/>
              </w:rPr>
              <w:t>≤200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（0/-0.5）</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钢尺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200&lt;</w:t>
            </w:r>
            <w:r>
              <w:rPr>
                <w:rFonts w:hint="eastAsia" w:ascii="仿宋" w:hAnsi="仿宋" w:eastAsia="仿宋" w:cs="宋体"/>
                <w:i/>
                <w:kern w:val="2"/>
                <w:sz w:val="24"/>
                <w:szCs w:val="24"/>
                <w:lang w:val="en-US" w:eastAsia="zh-CN" w:bidi="ar-SA"/>
              </w:rPr>
              <w:t>B</w:t>
            </w:r>
            <w:r>
              <w:rPr>
                <w:rFonts w:hint="eastAsia" w:ascii="仿宋" w:hAnsi="仿宋" w:eastAsia="仿宋" w:cs="宋体"/>
                <w:kern w:val="2"/>
                <w:sz w:val="24"/>
                <w:szCs w:val="24"/>
                <w:lang w:val="en-US" w:eastAsia="zh-CN" w:bidi="ar-SA"/>
              </w:rPr>
              <w:t>≤400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0/-0.8</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钢尺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400&lt;</w:t>
            </w:r>
            <w:r>
              <w:rPr>
                <w:rFonts w:hint="eastAsia" w:ascii="仿宋" w:hAnsi="仿宋" w:eastAsia="仿宋" w:cs="宋体"/>
                <w:i/>
                <w:kern w:val="2"/>
                <w:sz w:val="24"/>
                <w:szCs w:val="24"/>
                <w:lang w:val="en-US" w:eastAsia="zh-CN" w:bidi="ar-SA"/>
              </w:rPr>
              <w:t>B</w:t>
            </w:r>
            <w:r>
              <w:rPr>
                <w:rFonts w:hint="eastAsia" w:ascii="仿宋" w:hAnsi="仿宋" w:eastAsia="仿宋" w:cs="宋体"/>
                <w:kern w:val="2"/>
                <w:sz w:val="24"/>
                <w:szCs w:val="24"/>
                <w:lang w:val="en-US" w:eastAsia="zh-CN" w:bidi="ar-SA"/>
              </w:rPr>
              <w:t>≤600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0/-1.2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钢尺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板面厚度</w:t>
            </w:r>
          </w:p>
        </w:tc>
        <w:tc>
          <w:tcPr>
            <w:tcW w:w="1559" w:type="dxa"/>
            <w:noWrap w:val="0"/>
            <w:vAlign w:val="center"/>
          </w:tcPr>
          <w:p>
            <w:pPr>
              <w:widowControl w:val="0"/>
              <w:spacing w:line="360" w:lineRule="auto"/>
              <w:jc w:val="center"/>
              <w:rPr>
                <w:rFonts w:ascii="仿宋" w:hAnsi="仿宋" w:eastAsia="仿宋" w:cs="宋体"/>
                <w:i/>
                <w:kern w:val="2"/>
                <w:sz w:val="24"/>
                <w:szCs w:val="24"/>
                <w:lang w:val="en-US" w:eastAsia="zh-CN" w:bidi="ar-SA"/>
              </w:rPr>
            </w:pPr>
            <w:r>
              <w:rPr>
                <w:rFonts w:hint="eastAsia" w:ascii="仿宋" w:hAnsi="仿宋" w:eastAsia="仿宋" w:cs="宋体"/>
                <w:i/>
                <w:kern w:val="2"/>
                <w:sz w:val="24"/>
                <w:szCs w:val="24"/>
                <w:lang w:val="en-US" w:eastAsia="zh-CN" w:bidi="ar-SA"/>
              </w:rPr>
              <w:t>h</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板面对角线长度差</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1.50</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钢尺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7</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肋高 </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65</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8</w:t>
            </w:r>
          </w:p>
        </w:tc>
        <w:tc>
          <w:tcPr>
            <w:tcW w:w="649" w:type="dxa"/>
            <w:vMerge w:val="restart"/>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销孔</w:t>
            </w: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沿板长度孔中心距</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i/>
                <w:kern w:val="2"/>
                <w:sz w:val="24"/>
                <w:szCs w:val="24"/>
                <w:lang w:val="en-US" w:eastAsia="zh-CN" w:bidi="ar-SA"/>
              </w:rPr>
              <w:t>n</w:t>
            </w:r>
            <w:r>
              <w:rPr>
                <w:rFonts w:hint="eastAsia" w:ascii="仿宋" w:hAnsi="仿宋" w:eastAsia="仿宋" w:cs="宋体"/>
                <w:kern w:val="2"/>
                <w:sz w:val="24"/>
                <w:szCs w:val="24"/>
                <w:lang w:val="en-US" w:eastAsia="zh-CN" w:bidi="ar-SA"/>
              </w:rPr>
              <w:t>×50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9</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沿板宽度孔中心距</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钢尺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10</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孔中心与板面间距</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11</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孔中心与板端间距</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12</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孔直径 </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φ16.5</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±0.2</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游标卡尺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13</w:t>
            </w:r>
          </w:p>
        </w:tc>
        <w:tc>
          <w:tcPr>
            <w:tcW w:w="2673" w:type="dxa"/>
            <w:gridSpan w:val="2"/>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肋板与面板的垂直度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90°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-30′</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直角尺、塞尺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14</w:t>
            </w:r>
          </w:p>
        </w:tc>
        <w:tc>
          <w:tcPr>
            <w:tcW w:w="2673" w:type="dxa"/>
            <w:gridSpan w:val="2"/>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转角模的角度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-30′</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万能角尺、卷尺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15</w:t>
            </w:r>
          </w:p>
        </w:tc>
        <w:tc>
          <w:tcPr>
            <w:tcW w:w="2673" w:type="dxa"/>
            <w:gridSpan w:val="2"/>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板面平面度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最大1.0（+0.5）</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2m测尺和塞尺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16</w:t>
            </w:r>
          </w:p>
        </w:tc>
        <w:tc>
          <w:tcPr>
            <w:tcW w:w="2673" w:type="dxa"/>
            <w:gridSpan w:val="2"/>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凸棱直线度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±0.5</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直线检测仪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17</w:t>
            </w:r>
          </w:p>
        </w:tc>
        <w:tc>
          <w:tcPr>
            <w:tcW w:w="649" w:type="dxa"/>
            <w:vMerge w:val="restart"/>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焊缝</w:t>
            </w: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满焊的焊缝高度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4</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+0.5 </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0</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color w:val="333333"/>
                <w:kern w:val="2"/>
                <w:sz w:val="24"/>
                <w:szCs w:val="24"/>
                <w:shd w:val="clear" w:color="auto" w:fill="FFFFFF"/>
                <w:lang w:val="en-US" w:eastAsia="zh-CN" w:bidi="ar-SA"/>
              </w:rPr>
              <w:t>焊缝检验尺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18</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分段焊的焊缝高度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+0.5</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w:t>
            </w:r>
          </w:p>
        </w:tc>
        <w:tc>
          <w:tcPr>
            <w:tcW w:w="1276" w:type="dxa"/>
            <w:noWrap w:val="0"/>
            <w:vAlign w:val="top"/>
          </w:tcPr>
          <w:p>
            <w:pPr>
              <w:widowControl w:val="0"/>
              <w:spacing w:line="360" w:lineRule="auto"/>
              <w:jc w:val="center"/>
              <w:rPr>
                <w:rFonts w:ascii="仿宋" w:hAnsi="仿宋" w:eastAsia="仿宋" w:cs="宋体"/>
                <w:b/>
                <w:kern w:val="2"/>
                <w:sz w:val="24"/>
                <w:szCs w:val="24"/>
                <w:lang w:val="en-US" w:eastAsia="zh-CN" w:bidi="ar-SA"/>
              </w:rPr>
            </w:pPr>
            <w:r>
              <w:rPr>
                <w:rFonts w:hint="eastAsia" w:ascii="仿宋" w:hAnsi="仿宋" w:eastAsia="仿宋" w:cs="宋体"/>
                <w:color w:val="333333"/>
                <w:kern w:val="2"/>
                <w:sz w:val="24"/>
                <w:szCs w:val="24"/>
                <w:shd w:val="clear" w:color="auto" w:fill="FFFFFF"/>
                <w:lang w:val="en-US" w:eastAsia="zh-CN" w:bidi="ar-SA"/>
              </w:rPr>
              <w:t>焊缝检验尺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19</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分段焊的焊缝长度</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&gt;30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w:t>
            </w:r>
          </w:p>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0</w:t>
            </w:r>
          </w:p>
        </w:tc>
        <w:tc>
          <w:tcPr>
            <w:tcW w:w="1276" w:type="dxa"/>
            <w:noWrap w:val="0"/>
            <w:vAlign w:val="top"/>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color w:val="333333"/>
                <w:kern w:val="2"/>
                <w:sz w:val="24"/>
                <w:szCs w:val="24"/>
                <w:shd w:val="clear" w:color="auto" w:fill="FFFFFF"/>
                <w:lang w:val="en-US" w:eastAsia="zh-CN" w:bidi="ar-SA"/>
              </w:rPr>
              <w:t>焊缝检验尺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exact"/>
          <w:jc w:val="center"/>
        </w:trPr>
        <w:tc>
          <w:tcPr>
            <w:tcW w:w="866"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20</w:t>
            </w:r>
          </w:p>
        </w:tc>
        <w:tc>
          <w:tcPr>
            <w:tcW w:w="649" w:type="dxa"/>
            <w:vMerge w:val="continue"/>
            <w:noWrap w:val="0"/>
            <w:vAlign w:val="center"/>
          </w:tcPr>
          <w:p>
            <w:pPr>
              <w:widowControl w:val="0"/>
              <w:spacing w:line="360" w:lineRule="auto"/>
              <w:jc w:val="center"/>
              <w:rPr>
                <w:rFonts w:ascii="仿宋" w:hAnsi="仿宋" w:eastAsia="仿宋" w:cs="宋体"/>
                <w:kern w:val="2"/>
                <w:sz w:val="24"/>
                <w:szCs w:val="24"/>
                <w:lang w:val="en-US" w:eastAsia="zh-CN" w:bidi="ar-SA"/>
              </w:rPr>
            </w:pPr>
          </w:p>
        </w:tc>
        <w:tc>
          <w:tcPr>
            <w:tcW w:w="2024" w:type="dxa"/>
            <w:noWrap w:val="0"/>
            <w:vAlign w:val="center"/>
          </w:tcPr>
          <w:p>
            <w:pPr>
              <w:widowControl w:val="0"/>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分段焊的焊缝间距</w:t>
            </w:r>
          </w:p>
        </w:tc>
        <w:tc>
          <w:tcPr>
            <w:tcW w:w="1559"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&lt;200</w:t>
            </w:r>
          </w:p>
        </w:tc>
        <w:tc>
          <w:tcPr>
            <w:tcW w:w="1843" w:type="dxa"/>
            <w:noWrap w:val="0"/>
            <w:vAlign w:val="center"/>
          </w:tcPr>
          <w:p>
            <w:pPr>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w:t>
            </w:r>
          </w:p>
        </w:tc>
        <w:tc>
          <w:tcPr>
            <w:tcW w:w="1276" w:type="dxa"/>
            <w:noWrap w:val="0"/>
            <w:vAlign w:val="top"/>
          </w:tcPr>
          <w:p>
            <w:pPr>
              <w:widowControl w:val="0"/>
              <w:spacing w:line="360" w:lineRule="auto"/>
              <w:jc w:val="both"/>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焊缝</w:t>
            </w:r>
            <w:r>
              <w:rPr>
                <w:rFonts w:hint="eastAsia" w:ascii="仿宋" w:hAnsi="仿宋" w:eastAsia="仿宋" w:cs="宋体"/>
                <w:color w:val="333333"/>
                <w:kern w:val="2"/>
                <w:sz w:val="24"/>
                <w:szCs w:val="24"/>
                <w:shd w:val="clear" w:color="auto" w:fill="FFFFFF"/>
                <w:lang w:val="en-US" w:eastAsia="zh-CN" w:bidi="ar-SA"/>
              </w:rPr>
              <w:t>检验</w:t>
            </w:r>
          </w:p>
        </w:tc>
      </w:tr>
    </w:tbl>
    <w:p>
      <w:pPr>
        <w:spacing w:line="360" w:lineRule="auto"/>
        <w:ind w:firstLine="480" w:firstLineChars="200"/>
        <w:rPr>
          <w:rFonts w:ascii="仿宋" w:hAnsi="仿宋" w:eastAsia="仿宋" w:cs="宋体"/>
          <w:sz w:val="24"/>
        </w:rPr>
      </w:pPr>
    </w:p>
    <w:p>
      <w:pPr>
        <w:spacing w:line="360" w:lineRule="auto"/>
        <w:ind w:firstLine="480" w:firstLineChars="200"/>
        <w:rPr>
          <w:rFonts w:ascii="仿宋" w:hAnsi="仿宋" w:eastAsia="仿宋" w:cs="宋体"/>
          <w:sz w:val="24"/>
        </w:rPr>
      </w:pPr>
    </w:p>
    <w:p>
      <w:pPr>
        <w:pStyle w:val="29"/>
        <w:spacing w:before="156" w:line="360" w:lineRule="auto"/>
        <w:outlineLvl w:val="0"/>
        <w:rPr>
          <w:rFonts w:ascii="仿宋" w:hAnsi="仿宋" w:eastAsia="仿宋" w:cs="宋体"/>
          <w:b/>
          <w:bCs/>
          <w:sz w:val="24"/>
          <w:szCs w:val="24"/>
        </w:rPr>
      </w:pPr>
      <w:bookmarkStart w:id="145" w:name="_Toc7619"/>
      <w:bookmarkStart w:id="146" w:name="_Toc26317"/>
      <w:r>
        <w:rPr>
          <w:rFonts w:hint="eastAsia" w:ascii="仿宋" w:hAnsi="仿宋" w:eastAsia="仿宋" w:cs="宋体"/>
          <w:b/>
          <w:bCs/>
          <w:sz w:val="24"/>
          <w:szCs w:val="24"/>
        </w:rPr>
        <w:t>预拼装模板质量标准及检验方法</w:t>
      </w:r>
      <w:bookmarkEnd w:id="145"/>
      <w:bookmarkEnd w:id="146"/>
    </w:p>
    <w:tbl>
      <w:tblPr>
        <w:tblStyle w:val="16"/>
        <w:tblW w:w="8339" w:type="dxa"/>
        <w:tblInd w:w="3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2494"/>
        <w:gridCol w:w="2965"/>
        <w:gridCol w:w="17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9" w:hRule="exact"/>
        </w:trPr>
        <w:tc>
          <w:tcPr>
            <w:tcW w:w="1123"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序 号</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检 测 项 目</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允许偏差（mm）</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123"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拼装模板长度</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1/1000，最大±3.0</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卷尺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123" w:type="dxa"/>
            <w:noWrap w:val="0"/>
            <w:vAlign w:val="top"/>
          </w:tcPr>
          <w:p>
            <w:pPr>
              <w:pStyle w:val="30"/>
              <w:widowControl w:val="0"/>
              <w:spacing w:line="360" w:lineRule="auto"/>
              <w:jc w:val="left"/>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 xml:space="preserve">    2</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拼装模板宽度</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1/1000，最大±3.0</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卷尺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123"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板面对角线差值</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≤3.0</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卷尺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123"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4</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板面平面度</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≤2.0</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2m测尺和塞尺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123"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5</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两块模板拼缝间隙</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≤1.0</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2m测尺和塞尺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exact"/>
        </w:trPr>
        <w:tc>
          <w:tcPr>
            <w:tcW w:w="1123"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6</w:t>
            </w:r>
          </w:p>
        </w:tc>
        <w:tc>
          <w:tcPr>
            <w:tcW w:w="2494"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相邻模板面板拼缝高低差</w:t>
            </w:r>
          </w:p>
        </w:tc>
        <w:tc>
          <w:tcPr>
            <w:tcW w:w="2965"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≤1.5</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2m测尺和塞尺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exact"/>
        </w:trPr>
        <w:tc>
          <w:tcPr>
            <w:tcW w:w="6582" w:type="dxa"/>
            <w:gridSpan w:val="3"/>
            <w:noWrap w:val="0"/>
            <w:vAlign w:val="top"/>
          </w:tcPr>
          <w:p>
            <w:pPr>
              <w:pStyle w:val="30"/>
              <w:widowControl w:val="0"/>
              <w:spacing w:line="360" w:lineRule="auto"/>
              <w:jc w:val="center"/>
              <w:rPr>
                <w:rFonts w:ascii="仿宋" w:hAnsi="仿宋" w:eastAsia="仿宋" w:cs="宋体"/>
                <w:kern w:val="2"/>
                <w:sz w:val="24"/>
                <w:szCs w:val="24"/>
                <w:lang w:val="en-US" w:eastAsia="zh-CN" w:bidi="ar-SA"/>
              </w:rPr>
            </w:pPr>
            <w:r>
              <w:rPr>
                <w:rFonts w:hint="eastAsia" w:ascii="仿宋" w:hAnsi="仿宋" w:eastAsia="仿宋" w:cs="宋体"/>
                <w:kern w:val="2"/>
                <w:sz w:val="24"/>
                <w:szCs w:val="24"/>
                <w:lang w:val="en-US" w:eastAsia="zh-CN" w:bidi="ar-SA"/>
              </w:rPr>
              <w:t>组装模板面积为2400 mm×3000 mm。</w:t>
            </w:r>
          </w:p>
        </w:tc>
        <w:tc>
          <w:tcPr>
            <w:tcW w:w="1757" w:type="dxa"/>
            <w:noWrap w:val="0"/>
            <w:vAlign w:val="top"/>
          </w:tcPr>
          <w:p>
            <w:pPr>
              <w:pStyle w:val="30"/>
              <w:widowControl w:val="0"/>
              <w:spacing w:line="360" w:lineRule="auto"/>
              <w:jc w:val="center"/>
              <w:rPr>
                <w:rFonts w:ascii="仿宋" w:hAnsi="仿宋" w:eastAsia="仿宋" w:cs="宋体"/>
                <w:kern w:val="2"/>
                <w:sz w:val="24"/>
                <w:szCs w:val="24"/>
                <w:lang w:val="en-US" w:eastAsia="zh-CN" w:bidi="ar-SA"/>
              </w:rPr>
            </w:pPr>
          </w:p>
        </w:tc>
      </w:tr>
    </w:tbl>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全套模板系统完成设计和生产后，将在工厂进行试装，并组织现场检验。出现任何问题，第一时间修正。包装发运前将模板系统的每个部件按照组装顺序进行分组编码，并登记详细的包装发运清单。</w:t>
      </w:r>
    </w:p>
    <w:p>
      <w:pPr>
        <w:spacing w:line="360" w:lineRule="auto"/>
        <w:ind w:firstLine="480" w:firstLineChars="200"/>
        <w:rPr>
          <w:rFonts w:ascii="仿宋" w:hAnsi="仿宋" w:eastAsia="仿宋"/>
          <w:color w:val="000000"/>
          <w:sz w:val="24"/>
        </w:rPr>
      </w:pPr>
      <w:r>
        <w:rPr>
          <w:rFonts w:hint="eastAsia" w:ascii="仿宋" w:hAnsi="仿宋" w:eastAsia="仿宋"/>
          <w:color w:val="000000"/>
          <w:sz w:val="24"/>
        </w:rPr>
        <w:t>5、提供铝合金模板的质量合格证、铝合金材质检验报告和配件质量报告。</w:t>
      </w:r>
    </w:p>
    <w:p>
      <w:pPr>
        <w:spacing w:line="360" w:lineRule="auto"/>
        <w:ind w:firstLine="480" w:firstLineChars="200"/>
        <w:rPr>
          <w:rFonts w:hint="eastAsia" w:ascii="仿宋" w:hAnsi="仿宋" w:eastAsia="仿宋"/>
          <w:color w:val="000000"/>
          <w:sz w:val="24"/>
        </w:rPr>
      </w:pPr>
      <w:r>
        <w:rPr>
          <w:rFonts w:hint="eastAsia" w:ascii="仿宋" w:hAnsi="仿宋" w:eastAsia="仿宋"/>
          <w:color w:val="000000"/>
          <w:sz w:val="24"/>
        </w:rPr>
        <w:t>6、提供铝合金建筑模板体系专项安装及拆卸程序、方法及安全措施。特殊部位、预埋件及预留孔的处理方法，必须加热、保温或隔热措施。</w:t>
      </w:r>
    </w:p>
    <w:p>
      <w:pPr>
        <w:spacing w:line="360" w:lineRule="auto"/>
        <w:rPr>
          <w:bCs/>
          <w:sz w:val="22"/>
          <w:szCs w:val="28"/>
        </w:rPr>
      </w:pPr>
    </w:p>
    <w:sectPr>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宋体">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320"/>
        <w:tab w:val="clear" w:pos="4153"/>
      </w:tabs>
      <w:rPr>
        <w:rFonts w:hint="default"/>
        <w:lang w:val="en-US"/>
      </w:rPr>
    </w:pPr>
    <w:r>
      <w:rPr>
        <w:rFonts w:hint="eastAsia"/>
        <w:lang w:val="en-US"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center" w:y="1"/>
      <w:rPr>
        <w:rStyle w:val="19"/>
      </w:rPr>
    </w:pPr>
    <w:r>
      <w:fldChar w:fldCharType="begin"/>
    </w:r>
    <w:r>
      <w:rPr>
        <w:rStyle w:val="19"/>
      </w:rPr>
      <w:instrText xml:space="preserve"> PAGE </w:instrText>
    </w:r>
    <w:r>
      <w:fldChar w:fldCharType="end"/>
    </w:r>
  </w:p>
  <w:p>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default"/>
        <w:lang w:val="en-US"/>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4</w:t>
                    </w:r>
                    <w:r>
                      <w:rPr>
                        <w:rFonts w:hint="eastAsia"/>
                        <w:lang w:eastAsia="zh-CN"/>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4320"/>
        <w:tab w:val="right" w:pos="8640"/>
        <w:tab w:val="clear" w:pos="4153"/>
        <w:tab w:val="clear" w:pos="8306"/>
      </w:tabs>
      <w:jc w:val="both"/>
      <w:rPr>
        <w:rFonts w:ascii="Times New Roman" w:hAnsi="Times New Roman" w:cs="Times New Roma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25</w:t>
                    </w:r>
                    <w:r>
                      <w:fldChar w:fldCharType="end"/>
                    </w:r>
                  </w:p>
                </w:txbxContent>
              </v:textbox>
            </v:shape>
          </w:pict>
        </mc:Fallback>
      </mc:AlternateContent>
    </w:r>
    <w:r>
      <w:rPr>
        <w:rFonts w:hint="eastAsia" w:ascii="Times New Roman" w:hAnsi="Times New Roman" w:cs="Times New Roma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tabs>
        <w:tab w:val="left" w:pos="3155"/>
        <w:tab w:val="clear" w:pos="4153"/>
        <w:tab w:val="clear" w:pos="8306"/>
      </w:tabs>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21F369"/>
    <w:multiLevelType w:val="singleLevel"/>
    <w:tmpl w:val="8C21F369"/>
    <w:lvl w:ilvl="0" w:tentative="0">
      <w:start w:val="1"/>
      <w:numFmt w:val="lowerLetter"/>
      <w:suff w:val="nothing"/>
      <w:lvlText w:val="（%1）"/>
      <w:lvlJc w:val="left"/>
    </w:lvl>
  </w:abstractNum>
  <w:abstractNum w:abstractNumId="1">
    <w:nsid w:val="9E5ACD85"/>
    <w:multiLevelType w:val="singleLevel"/>
    <w:tmpl w:val="9E5ACD85"/>
    <w:lvl w:ilvl="0" w:tentative="0">
      <w:start w:val="1"/>
      <w:numFmt w:val="decimal"/>
      <w:lvlText w:val="%1."/>
      <w:lvlJc w:val="left"/>
      <w:pPr>
        <w:tabs>
          <w:tab w:val="left" w:pos="312"/>
        </w:tabs>
      </w:pPr>
    </w:lvl>
  </w:abstractNum>
  <w:abstractNum w:abstractNumId="2">
    <w:nsid w:val="E454DD22"/>
    <w:multiLevelType w:val="singleLevel"/>
    <w:tmpl w:val="E454DD22"/>
    <w:lvl w:ilvl="0" w:tentative="0">
      <w:start w:val="1"/>
      <w:numFmt w:val="decimal"/>
      <w:lvlText w:val="%1."/>
      <w:lvlJc w:val="left"/>
      <w:pPr>
        <w:tabs>
          <w:tab w:val="left" w:pos="312"/>
        </w:tabs>
      </w:pPr>
    </w:lvl>
  </w:abstractNum>
  <w:abstractNum w:abstractNumId="3">
    <w:nsid w:val="02437B61"/>
    <w:multiLevelType w:val="multilevel"/>
    <w:tmpl w:val="02437B61"/>
    <w:lvl w:ilvl="0" w:tentative="0">
      <w:start w:val="1"/>
      <w:numFmt w:val="decimal"/>
      <w:lvlText w:val="8.%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041BC280"/>
    <w:multiLevelType w:val="singleLevel"/>
    <w:tmpl w:val="041BC280"/>
    <w:lvl w:ilvl="0" w:tentative="0">
      <w:start w:val="1"/>
      <w:numFmt w:val="lowerLetter"/>
      <w:suff w:val="nothing"/>
      <w:lvlText w:val="（%1）"/>
      <w:lvlJc w:val="left"/>
    </w:lvl>
  </w:abstractNum>
  <w:abstractNum w:abstractNumId="5">
    <w:nsid w:val="0D7D2F87"/>
    <w:multiLevelType w:val="multilevel"/>
    <w:tmpl w:val="0D7D2F87"/>
    <w:lvl w:ilvl="0" w:tentative="0">
      <w:start w:val="1"/>
      <w:numFmt w:val="decimal"/>
      <w:lvlText w:val="3.%1"/>
      <w:lvlJc w:val="left"/>
      <w:pPr>
        <w:ind w:left="126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13A23000"/>
    <w:multiLevelType w:val="singleLevel"/>
    <w:tmpl w:val="13A23000"/>
    <w:lvl w:ilvl="0" w:tentative="0">
      <w:start w:val="3"/>
      <w:numFmt w:val="decimal"/>
      <w:suff w:val="nothing"/>
      <w:lvlText w:val="%1、"/>
      <w:lvlJc w:val="left"/>
    </w:lvl>
  </w:abstractNum>
  <w:abstractNum w:abstractNumId="7">
    <w:nsid w:val="23E8251E"/>
    <w:multiLevelType w:val="multilevel"/>
    <w:tmpl w:val="23E8251E"/>
    <w:lvl w:ilvl="0" w:tentative="0">
      <w:start w:val="1"/>
      <w:numFmt w:val="decimal"/>
      <w:lvlText w:val="11.2.%1"/>
      <w:lvlJc w:val="left"/>
      <w:pPr>
        <w:ind w:left="1288" w:hanging="720"/>
      </w:pPr>
      <w:rPr>
        <w:rFonts w:hint="default"/>
      </w:rPr>
    </w:lvl>
    <w:lvl w:ilvl="1" w:tentative="0">
      <w:start w:val="1"/>
      <w:numFmt w:val="lowerLetter"/>
      <w:lvlText w:val="%2)"/>
      <w:lvlJc w:val="left"/>
      <w:pPr>
        <w:ind w:left="1136" w:hanging="420"/>
      </w:pPr>
    </w:lvl>
    <w:lvl w:ilvl="2" w:tentative="0">
      <w:start w:val="1"/>
      <w:numFmt w:val="lowerRoman"/>
      <w:lvlText w:val="%3."/>
      <w:lvlJc w:val="right"/>
      <w:pPr>
        <w:ind w:left="1556" w:hanging="420"/>
      </w:pPr>
    </w:lvl>
    <w:lvl w:ilvl="3" w:tentative="0">
      <w:start w:val="1"/>
      <w:numFmt w:val="decimal"/>
      <w:lvlText w:val="%4."/>
      <w:lvlJc w:val="left"/>
      <w:pPr>
        <w:ind w:left="1976" w:hanging="420"/>
      </w:pPr>
    </w:lvl>
    <w:lvl w:ilvl="4" w:tentative="0">
      <w:start w:val="1"/>
      <w:numFmt w:val="lowerLetter"/>
      <w:lvlText w:val="%5)"/>
      <w:lvlJc w:val="left"/>
      <w:pPr>
        <w:ind w:left="2396" w:hanging="420"/>
      </w:pPr>
    </w:lvl>
    <w:lvl w:ilvl="5" w:tentative="0">
      <w:start w:val="1"/>
      <w:numFmt w:val="lowerRoman"/>
      <w:lvlText w:val="%6."/>
      <w:lvlJc w:val="right"/>
      <w:pPr>
        <w:ind w:left="2816" w:hanging="420"/>
      </w:pPr>
    </w:lvl>
    <w:lvl w:ilvl="6" w:tentative="0">
      <w:start w:val="1"/>
      <w:numFmt w:val="decimal"/>
      <w:lvlText w:val="%7."/>
      <w:lvlJc w:val="left"/>
      <w:pPr>
        <w:ind w:left="3236" w:hanging="420"/>
      </w:pPr>
    </w:lvl>
    <w:lvl w:ilvl="7" w:tentative="0">
      <w:start w:val="1"/>
      <w:numFmt w:val="lowerLetter"/>
      <w:lvlText w:val="%8)"/>
      <w:lvlJc w:val="left"/>
      <w:pPr>
        <w:ind w:left="3656" w:hanging="420"/>
      </w:pPr>
    </w:lvl>
    <w:lvl w:ilvl="8" w:tentative="0">
      <w:start w:val="1"/>
      <w:numFmt w:val="lowerRoman"/>
      <w:lvlText w:val="%9."/>
      <w:lvlJc w:val="right"/>
      <w:pPr>
        <w:ind w:left="4076" w:hanging="420"/>
      </w:pPr>
    </w:lvl>
  </w:abstractNum>
  <w:abstractNum w:abstractNumId="8">
    <w:nsid w:val="2880789B"/>
    <w:multiLevelType w:val="multilevel"/>
    <w:tmpl w:val="2880789B"/>
    <w:lvl w:ilvl="0" w:tentative="0">
      <w:start w:val="3"/>
      <w:numFmt w:val="decimal"/>
      <w:lvlText w:val="%1"/>
      <w:lvlJc w:val="left"/>
      <w:pPr>
        <w:ind w:left="780" w:hanging="360"/>
      </w:pPr>
      <w:rPr>
        <w:rFonts w:hint="default"/>
        <w:b w:val="0"/>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9">
    <w:nsid w:val="2F96542D"/>
    <w:multiLevelType w:val="multilevel"/>
    <w:tmpl w:val="2F96542D"/>
    <w:lvl w:ilvl="0" w:tentative="0">
      <w:start w:val="1"/>
      <w:numFmt w:val="decimal"/>
      <w:lvlText w:val="4.%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0">
    <w:nsid w:val="314320AC"/>
    <w:multiLevelType w:val="multilevel"/>
    <w:tmpl w:val="314320AC"/>
    <w:lvl w:ilvl="0" w:tentative="0">
      <w:start w:val="1"/>
      <w:numFmt w:val="decimal"/>
      <w:lvlText w:val="11.%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1">
    <w:nsid w:val="3B350E1C"/>
    <w:multiLevelType w:val="multilevel"/>
    <w:tmpl w:val="3B350E1C"/>
    <w:lvl w:ilvl="0" w:tentative="0">
      <w:start w:val="1"/>
      <w:numFmt w:val="decimal"/>
      <w:lvlText w:val="5.%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2">
    <w:nsid w:val="3B8916B8"/>
    <w:multiLevelType w:val="multilevel"/>
    <w:tmpl w:val="3B8916B8"/>
    <w:lvl w:ilvl="0" w:tentative="0">
      <w:start w:val="1"/>
      <w:numFmt w:val="decimal"/>
      <w:lvlText w:val="%1."/>
      <w:lvlJc w:val="left"/>
      <w:pPr>
        <w:tabs>
          <w:tab w:val="left" w:pos="425"/>
        </w:tabs>
        <w:ind w:left="425" w:hanging="425"/>
      </w:pPr>
    </w:lvl>
    <w:lvl w:ilvl="1" w:tentative="0">
      <w:start w:val="1"/>
      <w:numFmt w:val="decimal"/>
      <w:pStyle w:val="2"/>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471E1B52"/>
    <w:multiLevelType w:val="multilevel"/>
    <w:tmpl w:val="471E1B52"/>
    <w:lvl w:ilvl="0" w:tentative="0">
      <w:start w:val="1"/>
      <w:numFmt w:val="decimal"/>
      <w:lvlText w:val="6.%1"/>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4B0A04A6"/>
    <w:multiLevelType w:val="multilevel"/>
    <w:tmpl w:val="4B0A04A6"/>
    <w:lvl w:ilvl="0" w:tentative="0">
      <w:start w:val="1"/>
      <w:numFmt w:val="decimal"/>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5">
    <w:nsid w:val="57EF3482"/>
    <w:multiLevelType w:val="multilevel"/>
    <w:tmpl w:val="57EF3482"/>
    <w:lvl w:ilvl="0" w:tentative="0">
      <w:start w:val="1"/>
      <w:numFmt w:val="decimal"/>
      <w:lvlText w:val="2.%1"/>
      <w:lvlJc w:val="left"/>
      <w:pPr>
        <w:ind w:left="126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6">
    <w:nsid w:val="5BD77EB7"/>
    <w:multiLevelType w:val="multilevel"/>
    <w:tmpl w:val="5BD77EB7"/>
    <w:lvl w:ilvl="0" w:tentative="0">
      <w:start w:val="1"/>
      <w:numFmt w:val="decimal"/>
      <w:lvlText w:val="9.%1"/>
      <w:lvlJc w:val="left"/>
      <w:pPr>
        <w:ind w:left="126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65BB6230"/>
    <w:multiLevelType w:val="singleLevel"/>
    <w:tmpl w:val="65BB6230"/>
    <w:lvl w:ilvl="0" w:tentative="0">
      <w:start w:val="2"/>
      <w:numFmt w:val="decimal"/>
      <w:suff w:val="space"/>
      <w:lvlText w:val="%1."/>
      <w:lvlJc w:val="left"/>
    </w:lvl>
  </w:abstractNum>
  <w:abstractNum w:abstractNumId="18">
    <w:nsid w:val="68D46664"/>
    <w:multiLevelType w:val="multilevel"/>
    <w:tmpl w:val="68D46664"/>
    <w:lvl w:ilvl="0" w:tentative="0">
      <w:start w:val="1"/>
      <w:numFmt w:val="decimal"/>
      <w:lvlText w:val="（%1）"/>
      <w:lvlJc w:val="left"/>
      <w:pPr>
        <w:ind w:left="1380" w:hanging="420"/>
      </w:pPr>
      <w:rPr>
        <w:rFonts w:hint="eastAsia"/>
      </w:rPr>
    </w:lvl>
    <w:lvl w:ilvl="1" w:tentative="0">
      <w:start w:val="1"/>
      <w:numFmt w:val="decimal"/>
      <w:lvlText w:val="1.%2"/>
      <w:lvlJc w:val="left"/>
      <w:pPr>
        <w:ind w:left="126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70F11D08"/>
    <w:multiLevelType w:val="multilevel"/>
    <w:tmpl w:val="70F11D08"/>
    <w:lvl w:ilvl="0" w:tentative="0">
      <w:start w:val="1"/>
      <w:numFmt w:val="decimal"/>
      <w:lvlText w:val="7.%1"/>
      <w:lvlJc w:val="left"/>
      <w:pPr>
        <w:ind w:left="126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32E6E22"/>
    <w:multiLevelType w:val="multilevel"/>
    <w:tmpl w:val="732E6E22"/>
    <w:lvl w:ilvl="0" w:tentative="0">
      <w:start w:val="1"/>
      <w:numFmt w:val="decimal"/>
      <w:lvlText w:val="10.%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1">
    <w:nsid w:val="73D57AC1"/>
    <w:multiLevelType w:val="multilevel"/>
    <w:tmpl w:val="73D57AC1"/>
    <w:lvl w:ilvl="0" w:tentative="0">
      <w:start w:val="1"/>
      <w:numFmt w:val="decimal"/>
      <w:lvlText w:val="13.%1"/>
      <w:lvlJc w:val="left"/>
      <w:pPr>
        <w:ind w:left="1260" w:hanging="420"/>
      </w:pPr>
      <w:rPr>
        <w:rFonts w:hint="eastAsia"/>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2">
    <w:nsid w:val="78E70445"/>
    <w:multiLevelType w:val="multilevel"/>
    <w:tmpl w:val="78E70445"/>
    <w:lvl w:ilvl="0" w:tentative="0">
      <w:start w:val="1"/>
      <w:numFmt w:val="decimal"/>
      <w:lvlText w:val="12.%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3">
    <w:nsid w:val="7CF62C91"/>
    <w:multiLevelType w:val="singleLevel"/>
    <w:tmpl w:val="7CF62C91"/>
    <w:lvl w:ilvl="0" w:tentative="0">
      <w:start w:val="1"/>
      <w:numFmt w:val="decimal"/>
      <w:lvlText w:val="%1."/>
      <w:lvlJc w:val="left"/>
      <w:pPr>
        <w:tabs>
          <w:tab w:val="left" w:pos="312"/>
        </w:tabs>
      </w:pPr>
    </w:lvl>
  </w:abstractNum>
  <w:num w:numId="1">
    <w:abstractNumId w:val="12"/>
  </w:num>
  <w:num w:numId="2">
    <w:abstractNumId w:val="1"/>
  </w:num>
  <w:num w:numId="3">
    <w:abstractNumId w:val="2"/>
  </w:num>
  <w:num w:numId="4">
    <w:abstractNumId w:val="23"/>
  </w:num>
  <w:num w:numId="5">
    <w:abstractNumId w:val="4"/>
  </w:num>
  <w:num w:numId="6">
    <w:abstractNumId w:val="17"/>
  </w:num>
  <w:num w:numId="7">
    <w:abstractNumId w:val="0"/>
  </w:num>
  <w:num w:numId="8">
    <w:abstractNumId w:val="14"/>
  </w:num>
  <w:num w:numId="9">
    <w:abstractNumId w:val="18"/>
  </w:num>
  <w:num w:numId="10">
    <w:abstractNumId w:val="15"/>
  </w:num>
  <w:num w:numId="11">
    <w:abstractNumId w:val="5"/>
  </w:num>
  <w:num w:numId="12">
    <w:abstractNumId w:val="9"/>
  </w:num>
  <w:num w:numId="13">
    <w:abstractNumId w:val="11"/>
  </w:num>
  <w:num w:numId="14">
    <w:abstractNumId w:val="13"/>
  </w:num>
  <w:num w:numId="15">
    <w:abstractNumId w:val="19"/>
  </w:num>
  <w:num w:numId="16">
    <w:abstractNumId w:val="3"/>
  </w:num>
  <w:num w:numId="17">
    <w:abstractNumId w:val="16"/>
  </w:num>
  <w:num w:numId="18">
    <w:abstractNumId w:val="20"/>
  </w:num>
  <w:num w:numId="19">
    <w:abstractNumId w:val="10"/>
  </w:num>
  <w:num w:numId="20">
    <w:abstractNumId w:val="7"/>
  </w:num>
  <w:num w:numId="21">
    <w:abstractNumId w:val="22"/>
  </w:num>
  <w:num w:numId="22">
    <w:abstractNumId w:val="21"/>
  </w:num>
  <w:num w:numId="23">
    <w:abstractNumId w:val="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D012D3"/>
    <w:rsid w:val="00004A6D"/>
    <w:rsid w:val="00006F3B"/>
    <w:rsid w:val="00030D44"/>
    <w:rsid w:val="00045253"/>
    <w:rsid w:val="00095952"/>
    <w:rsid w:val="001773D6"/>
    <w:rsid w:val="00217189"/>
    <w:rsid w:val="00222B31"/>
    <w:rsid w:val="00292557"/>
    <w:rsid w:val="00294647"/>
    <w:rsid w:val="003500E3"/>
    <w:rsid w:val="00385783"/>
    <w:rsid w:val="003C453B"/>
    <w:rsid w:val="003D3B48"/>
    <w:rsid w:val="004B1766"/>
    <w:rsid w:val="004D2E51"/>
    <w:rsid w:val="006235CD"/>
    <w:rsid w:val="0065083F"/>
    <w:rsid w:val="00672BF5"/>
    <w:rsid w:val="006E7128"/>
    <w:rsid w:val="0073093F"/>
    <w:rsid w:val="00897D0B"/>
    <w:rsid w:val="008E64F9"/>
    <w:rsid w:val="009B03F2"/>
    <w:rsid w:val="009C538C"/>
    <w:rsid w:val="009F10F1"/>
    <w:rsid w:val="00AA0C75"/>
    <w:rsid w:val="00AE3B7F"/>
    <w:rsid w:val="00B776BC"/>
    <w:rsid w:val="00B956EC"/>
    <w:rsid w:val="00B9789E"/>
    <w:rsid w:val="00BC4931"/>
    <w:rsid w:val="00C46CA4"/>
    <w:rsid w:val="00CA2A2E"/>
    <w:rsid w:val="00CD233C"/>
    <w:rsid w:val="00D3197D"/>
    <w:rsid w:val="00DA4474"/>
    <w:rsid w:val="00DE733C"/>
    <w:rsid w:val="00E02734"/>
    <w:rsid w:val="00E346B3"/>
    <w:rsid w:val="00F8797C"/>
    <w:rsid w:val="00F95A37"/>
    <w:rsid w:val="015C66BB"/>
    <w:rsid w:val="01C10AC8"/>
    <w:rsid w:val="01E26DFF"/>
    <w:rsid w:val="029D26DE"/>
    <w:rsid w:val="02C97E14"/>
    <w:rsid w:val="03404096"/>
    <w:rsid w:val="03A34E40"/>
    <w:rsid w:val="03BA1FFA"/>
    <w:rsid w:val="04216B69"/>
    <w:rsid w:val="042F2D37"/>
    <w:rsid w:val="0448321D"/>
    <w:rsid w:val="04971CE6"/>
    <w:rsid w:val="04A60042"/>
    <w:rsid w:val="04C73A9B"/>
    <w:rsid w:val="05CD0AFB"/>
    <w:rsid w:val="06290E00"/>
    <w:rsid w:val="066468A2"/>
    <w:rsid w:val="06690967"/>
    <w:rsid w:val="06F43A42"/>
    <w:rsid w:val="071C7E25"/>
    <w:rsid w:val="079E7EE1"/>
    <w:rsid w:val="07C870D0"/>
    <w:rsid w:val="07CE6279"/>
    <w:rsid w:val="08320A23"/>
    <w:rsid w:val="08437B57"/>
    <w:rsid w:val="084E6783"/>
    <w:rsid w:val="08F0070A"/>
    <w:rsid w:val="09353D5E"/>
    <w:rsid w:val="098C2FDB"/>
    <w:rsid w:val="0A3C43E8"/>
    <w:rsid w:val="0A9B6771"/>
    <w:rsid w:val="0B1C40A9"/>
    <w:rsid w:val="0B2D0A4C"/>
    <w:rsid w:val="0B335CF7"/>
    <w:rsid w:val="0B3678F0"/>
    <w:rsid w:val="0D1A3476"/>
    <w:rsid w:val="0D3602FC"/>
    <w:rsid w:val="0E703DE0"/>
    <w:rsid w:val="0EE15648"/>
    <w:rsid w:val="0F1953C4"/>
    <w:rsid w:val="1003503E"/>
    <w:rsid w:val="10714924"/>
    <w:rsid w:val="1107633A"/>
    <w:rsid w:val="11954F74"/>
    <w:rsid w:val="11A8771C"/>
    <w:rsid w:val="11E47D6C"/>
    <w:rsid w:val="125B33AB"/>
    <w:rsid w:val="129977F1"/>
    <w:rsid w:val="12AA3891"/>
    <w:rsid w:val="12FA5251"/>
    <w:rsid w:val="134A6003"/>
    <w:rsid w:val="135765BE"/>
    <w:rsid w:val="13BA788D"/>
    <w:rsid w:val="14395D4A"/>
    <w:rsid w:val="14562994"/>
    <w:rsid w:val="148F64FA"/>
    <w:rsid w:val="14C57655"/>
    <w:rsid w:val="156F5B4E"/>
    <w:rsid w:val="15FC2A5C"/>
    <w:rsid w:val="16102D69"/>
    <w:rsid w:val="16934886"/>
    <w:rsid w:val="16AF3D6D"/>
    <w:rsid w:val="16F01E2B"/>
    <w:rsid w:val="171A37D0"/>
    <w:rsid w:val="171E5A64"/>
    <w:rsid w:val="173B1D5F"/>
    <w:rsid w:val="179A6D9F"/>
    <w:rsid w:val="17D138E4"/>
    <w:rsid w:val="186917D0"/>
    <w:rsid w:val="19705824"/>
    <w:rsid w:val="19A9723A"/>
    <w:rsid w:val="1B261423"/>
    <w:rsid w:val="1BA142B9"/>
    <w:rsid w:val="1BD0086E"/>
    <w:rsid w:val="1C1A02E1"/>
    <w:rsid w:val="1C853E71"/>
    <w:rsid w:val="1CF117BD"/>
    <w:rsid w:val="1DBD443A"/>
    <w:rsid w:val="1E5D62F8"/>
    <w:rsid w:val="1E9C1CD3"/>
    <w:rsid w:val="1ED11B09"/>
    <w:rsid w:val="1F0C4196"/>
    <w:rsid w:val="1F677A71"/>
    <w:rsid w:val="1F75578E"/>
    <w:rsid w:val="20B76A34"/>
    <w:rsid w:val="20E23F6B"/>
    <w:rsid w:val="21365AFE"/>
    <w:rsid w:val="216E13C1"/>
    <w:rsid w:val="21A332DD"/>
    <w:rsid w:val="22575D44"/>
    <w:rsid w:val="226E5285"/>
    <w:rsid w:val="22EA6863"/>
    <w:rsid w:val="23C8156D"/>
    <w:rsid w:val="23DA2829"/>
    <w:rsid w:val="242F5973"/>
    <w:rsid w:val="24341DDC"/>
    <w:rsid w:val="244868E2"/>
    <w:rsid w:val="2505132F"/>
    <w:rsid w:val="250C73B6"/>
    <w:rsid w:val="253A3EA2"/>
    <w:rsid w:val="255835B1"/>
    <w:rsid w:val="257B138A"/>
    <w:rsid w:val="25C54A64"/>
    <w:rsid w:val="265F7E0D"/>
    <w:rsid w:val="26654E27"/>
    <w:rsid w:val="26676A61"/>
    <w:rsid w:val="27A55027"/>
    <w:rsid w:val="28182849"/>
    <w:rsid w:val="286A1517"/>
    <w:rsid w:val="292B4D54"/>
    <w:rsid w:val="29876296"/>
    <w:rsid w:val="2A1A0A0E"/>
    <w:rsid w:val="2B176078"/>
    <w:rsid w:val="2B296829"/>
    <w:rsid w:val="2C2F03C8"/>
    <w:rsid w:val="2D5A5EF2"/>
    <w:rsid w:val="2D7A7B57"/>
    <w:rsid w:val="2DA16E42"/>
    <w:rsid w:val="2E6E1605"/>
    <w:rsid w:val="30B62655"/>
    <w:rsid w:val="30BF2F0F"/>
    <w:rsid w:val="30D012D3"/>
    <w:rsid w:val="3112428D"/>
    <w:rsid w:val="31D75BA9"/>
    <w:rsid w:val="326D0697"/>
    <w:rsid w:val="3294008E"/>
    <w:rsid w:val="33A24EF0"/>
    <w:rsid w:val="348C0A37"/>
    <w:rsid w:val="351C2E8D"/>
    <w:rsid w:val="351E6307"/>
    <w:rsid w:val="35337A7D"/>
    <w:rsid w:val="35852ABD"/>
    <w:rsid w:val="363475D8"/>
    <w:rsid w:val="376B509A"/>
    <w:rsid w:val="3771270B"/>
    <w:rsid w:val="379D27D9"/>
    <w:rsid w:val="37B30825"/>
    <w:rsid w:val="388B3DE8"/>
    <w:rsid w:val="38B8682A"/>
    <w:rsid w:val="38C56BB4"/>
    <w:rsid w:val="38D776EA"/>
    <w:rsid w:val="38F26CAF"/>
    <w:rsid w:val="390B6DE3"/>
    <w:rsid w:val="39300097"/>
    <w:rsid w:val="39725436"/>
    <w:rsid w:val="39E83924"/>
    <w:rsid w:val="3A8532AE"/>
    <w:rsid w:val="3B4159BB"/>
    <w:rsid w:val="3B7E2DE1"/>
    <w:rsid w:val="3B815279"/>
    <w:rsid w:val="3BDA7814"/>
    <w:rsid w:val="3BFA0E89"/>
    <w:rsid w:val="3BFF6F36"/>
    <w:rsid w:val="3C362789"/>
    <w:rsid w:val="3C5B41B6"/>
    <w:rsid w:val="3CD72168"/>
    <w:rsid w:val="3D491F01"/>
    <w:rsid w:val="3D562DB2"/>
    <w:rsid w:val="3DCA112A"/>
    <w:rsid w:val="3DF0273A"/>
    <w:rsid w:val="3DFB3B0B"/>
    <w:rsid w:val="3E0B6BA3"/>
    <w:rsid w:val="3E3434A0"/>
    <w:rsid w:val="3E8C4E39"/>
    <w:rsid w:val="3EBD707C"/>
    <w:rsid w:val="3F2007FE"/>
    <w:rsid w:val="3FC67131"/>
    <w:rsid w:val="401763E2"/>
    <w:rsid w:val="40336EB0"/>
    <w:rsid w:val="404679F8"/>
    <w:rsid w:val="40B64357"/>
    <w:rsid w:val="40F30ECD"/>
    <w:rsid w:val="4128268D"/>
    <w:rsid w:val="41427558"/>
    <w:rsid w:val="415E19B0"/>
    <w:rsid w:val="42957730"/>
    <w:rsid w:val="42BE4E4E"/>
    <w:rsid w:val="44C94690"/>
    <w:rsid w:val="4524416E"/>
    <w:rsid w:val="452E729A"/>
    <w:rsid w:val="45402A20"/>
    <w:rsid w:val="46177555"/>
    <w:rsid w:val="466C2CBE"/>
    <w:rsid w:val="46890CE8"/>
    <w:rsid w:val="46905BD8"/>
    <w:rsid w:val="46A77952"/>
    <w:rsid w:val="46E138C1"/>
    <w:rsid w:val="47065322"/>
    <w:rsid w:val="470E0913"/>
    <w:rsid w:val="47833F1C"/>
    <w:rsid w:val="47D262AE"/>
    <w:rsid w:val="487F78C2"/>
    <w:rsid w:val="491C769F"/>
    <w:rsid w:val="49662075"/>
    <w:rsid w:val="499F566F"/>
    <w:rsid w:val="49B05312"/>
    <w:rsid w:val="49FC3BF6"/>
    <w:rsid w:val="4A041CC3"/>
    <w:rsid w:val="4ADA07E1"/>
    <w:rsid w:val="4AF613F0"/>
    <w:rsid w:val="4BDD07F2"/>
    <w:rsid w:val="4BF33392"/>
    <w:rsid w:val="4CB010F2"/>
    <w:rsid w:val="4CC62D40"/>
    <w:rsid w:val="4D374DB7"/>
    <w:rsid w:val="4DB27309"/>
    <w:rsid w:val="4DBA6CFC"/>
    <w:rsid w:val="4E4D6C69"/>
    <w:rsid w:val="4EA13BEE"/>
    <w:rsid w:val="4EEE3F31"/>
    <w:rsid w:val="4FB232FE"/>
    <w:rsid w:val="50160DEC"/>
    <w:rsid w:val="508A186A"/>
    <w:rsid w:val="509947B0"/>
    <w:rsid w:val="50C25938"/>
    <w:rsid w:val="51AF2A2D"/>
    <w:rsid w:val="51DE32E3"/>
    <w:rsid w:val="52E329D1"/>
    <w:rsid w:val="533B4949"/>
    <w:rsid w:val="534C090B"/>
    <w:rsid w:val="53B409E4"/>
    <w:rsid w:val="541769F6"/>
    <w:rsid w:val="54B2457E"/>
    <w:rsid w:val="54DC6984"/>
    <w:rsid w:val="55393CC7"/>
    <w:rsid w:val="55654765"/>
    <w:rsid w:val="55EC0C42"/>
    <w:rsid w:val="569C1416"/>
    <w:rsid w:val="56CB259D"/>
    <w:rsid w:val="5723713C"/>
    <w:rsid w:val="57541B05"/>
    <w:rsid w:val="579B08C7"/>
    <w:rsid w:val="586D58ED"/>
    <w:rsid w:val="58A90C78"/>
    <w:rsid w:val="58C1351A"/>
    <w:rsid w:val="58C37FF9"/>
    <w:rsid w:val="5A663740"/>
    <w:rsid w:val="5A762D0A"/>
    <w:rsid w:val="5A997300"/>
    <w:rsid w:val="5B1F705C"/>
    <w:rsid w:val="5B522732"/>
    <w:rsid w:val="5B850EA2"/>
    <w:rsid w:val="5C127B7F"/>
    <w:rsid w:val="5CE15AC3"/>
    <w:rsid w:val="5E014FFF"/>
    <w:rsid w:val="5E400D90"/>
    <w:rsid w:val="5E6B3B99"/>
    <w:rsid w:val="60146320"/>
    <w:rsid w:val="60273F41"/>
    <w:rsid w:val="60885A1F"/>
    <w:rsid w:val="609A270C"/>
    <w:rsid w:val="61052578"/>
    <w:rsid w:val="615D168E"/>
    <w:rsid w:val="61A076A9"/>
    <w:rsid w:val="61DA5B58"/>
    <w:rsid w:val="635817F8"/>
    <w:rsid w:val="63A238D3"/>
    <w:rsid w:val="65122861"/>
    <w:rsid w:val="653B4963"/>
    <w:rsid w:val="65FA1A20"/>
    <w:rsid w:val="67195B11"/>
    <w:rsid w:val="673270F9"/>
    <w:rsid w:val="67BB23FA"/>
    <w:rsid w:val="67CE1979"/>
    <w:rsid w:val="680D4174"/>
    <w:rsid w:val="691A2007"/>
    <w:rsid w:val="69404B56"/>
    <w:rsid w:val="696C5A24"/>
    <w:rsid w:val="696E0F77"/>
    <w:rsid w:val="6A6544BB"/>
    <w:rsid w:val="6AEA5BF4"/>
    <w:rsid w:val="6B747554"/>
    <w:rsid w:val="6B847BF4"/>
    <w:rsid w:val="6C1C7598"/>
    <w:rsid w:val="6C9271A9"/>
    <w:rsid w:val="6C950451"/>
    <w:rsid w:val="6CD260FB"/>
    <w:rsid w:val="6CFA7445"/>
    <w:rsid w:val="6D954E3D"/>
    <w:rsid w:val="6EC14920"/>
    <w:rsid w:val="6EF92584"/>
    <w:rsid w:val="6EFC7FD7"/>
    <w:rsid w:val="6F5E79F6"/>
    <w:rsid w:val="6F931E64"/>
    <w:rsid w:val="712A20A1"/>
    <w:rsid w:val="71382A14"/>
    <w:rsid w:val="713D2759"/>
    <w:rsid w:val="714B518E"/>
    <w:rsid w:val="718429C0"/>
    <w:rsid w:val="721A6F92"/>
    <w:rsid w:val="722B04A7"/>
    <w:rsid w:val="727E632E"/>
    <w:rsid w:val="73837243"/>
    <w:rsid w:val="739A47C4"/>
    <w:rsid w:val="74923C14"/>
    <w:rsid w:val="74BD6802"/>
    <w:rsid w:val="75304235"/>
    <w:rsid w:val="757F36D4"/>
    <w:rsid w:val="75B6372E"/>
    <w:rsid w:val="765653F6"/>
    <w:rsid w:val="77992F26"/>
    <w:rsid w:val="77DA1530"/>
    <w:rsid w:val="783F20D8"/>
    <w:rsid w:val="78882BBE"/>
    <w:rsid w:val="79006050"/>
    <w:rsid w:val="79B55E6A"/>
    <w:rsid w:val="79FF49C6"/>
    <w:rsid w:val="7A0C3A24"/>
    <w:rsid w:val="7A1B5F89"/>
    <w:rsid w:val="7A5714B5"/>
    <w:rsid w:val="7A6E6355"/>
    <w:rsid w:val="7A9B2194"/>
    <w:rsid w:val="7AD21A8F"/>
    <w:rsid w:val="7ADD48F7"/>
    <w:rsid w:val="7B0D2192"/>
    <w:rsid w:val="7BBB0172"/>
    <w:rsid w:val="7BD74A2D"/>
    <w:rsid w:val="7C4C431D"/>
    <w:rsid w:val="7C7E0DAB"/>
    <w:rsid w:val="7C81367F"/>
    <w:rsid w:val="7CCF190D"/>
    <w:rsid w:val="7D267DC0"/>
    <w:rsid w:val="7D564E6D"/>
    <w:rsid w:val="7D7C2F0A"/>
    <w:rsid w:val="7D8D31CB"/>
    <w:rsid w:val="7D942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2">
    <w:name w:val="heading 2"/>
    <w:basedOn w:val="1"/>
    <w:next w:val="3"/>
    <w:link w:val="32"/>
    <w:qFormat/>
    <w:uiPriority w:val="0"/>
    <w:pPr>
      <w:keepNext/>
      <w:keepLines/>
      <w:numPr>
        <w:ilvl w:val="1"/>
        <w:numId w:val="1"/>
      </w:numPr>
      <w:spacing w:before="260" w:after="260" w:line="415" w:lineRule="auto"/>
      <w:outlineLvl w:val="1"/>
    </w:pPr>
    <w:rPr>
      <w:rFonts w:ascii="Arial" w:hAnsi="Arial" w:eastAsia="黑体"/>
      <w:b/>
      <w:bCs/>
      <w:sz w:val="32"/>
      <w:szCs w:val="32"/>
    </w:rPr>
  </w:style>
  <w:style w:type="paragraph" w:styleId="3">
    <w:name w:val="heading 3"/>
    <w:basedOn w:val="1"/>
    <w:next w:val="1"/>
    <w:qFormat/>
    <w:uiPriority w:val="0"/>
    <w:pPr>
      <w:keepNext/>
      <w:keepLines/>
      <w:spacing w:beforeLines="50" w:afterLines="50"/>
      <w:outlineLvl w:val="2"/>
    </w:pPr>
    <w:rPr>
      <w:rFonts w:ascii="仿宋" w:hAnsi="仿宋" w:eastAsia="仿宋"/>
      <w:b/>
      <w:bCs/>
      <w:kern w:val="0"/>
      <w:sz w:val="24"/>
      <w:szCs w:val="32"/>
    </w:rPr>
  </w:style>
  <w:style w:type="paragraph" w:styleId="5">
    <w:name w:val="heading 5"/>
    <w:basedOn w:val="1"/>
    <w:next w:val="1"/>
    <w:qFormat/>
    <w:uiPriority w:val="9"/>
    <w:pPr>
      <w:keepNext/>
      <w:keepLines/>
      <w:spacing w:before="280" w:after="290" w:line="376" w:lineRule="auto"/>
      <w:outlineLvl w:val="4"/>
    </w:pPr>
    <w:rPr>
      <w:rFonts w:ascii="Times New Roman" w:hAnsi="Times New Roman"/>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Body Text 3"/>
    <w:basedOn w:val="1"/>
    <w:unhideWhenUsed/>
    <w:qFormat/>
    <w:uiPriority w:val="99"/>
    <w:pPr>
      <w:spacing w:after="120"/>
    </w:pPr>
    <w:rPr>
      <w:sz w:val="16"/>
      <w:szCs w:val="16"/>
    </w:rPr>
  </w:style>
  <w:style w:type="paragraph" w:styleId="7">
    <w:name w:val="Body Text Indent"/>
    <w:basedOn w:val="1"/>
    <w:qFormat/>
    <w:uiPriority w:val="0"/>
    <w:pPr>
      <w:snapToGrid w:val="0"/>
      <w:spacing w:line="500" w:lineRule="exact"/>
      <w:ind w:left="525"/>
    </w:pPr>
    <w:rPr>
      <w:sz w:val="28"/>
    </w:rPr>
  </w:style>
  <w:style w:type="paragraph" w:styleId="8">
    <w:name w:val="Plain Text"/>
    <w:basedOn w:val="1"/>
    <w:qFormat/>
    <w:uiPriority w:val="0"/>
    <w:rPr>
      <w:rFonts w:ascii="宋体" w:hAnsi="Courier New"/>
    </w:rPr>
  </w:style>
  <w:style w:type="paragraph" w:styleId="9">
    <w:name w:val="Balloon Text"/>
    <w:basedOn w:val="1"/>
    <w:link w:val="27"/>
    <w:qFormat/>
    <w:uiPriority w:val="0"/>
    <w:rPr>
      <w:sz w:val="18"/>
      <w:szCs w:val="18"/>
    </w:rPr>
  </w:style>
  <w:style w:type="paragraph" w:styleId="10">
    <w:name w:val="footer"/>
    <w:basedOn w:val="1"/>
    <w:link w:val="22"/>
    <w:qFormat/>
    <w:uiPriority w:val="0"/>
    <w:pPr>
      <w:tabs>
        <w:tab w:val="center" w:pos="4153"/>
        <w:tab w:val="right" w:pos="8306"/>
      </w:tabs>
      <w:snapToGrid w:val="0"/>
      <w:jc w:val="left"/>
    </w:pPr>
    <w:rPr>
      <w:sz w:val="18"/>
      <w:szCs w:val="18"/>
    </w:rPr>
  </w:style>
  <w:style w:type="paragraph" w:styleId="11">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Title"/>
    <w:basedOn w:val="1"/>
    <w:next w:val="1"/>
    <w:qFormat/>
    <w:uiPriority w:val="99"/>
    <w:pPr>
      <w:spacing w:before="240" w:after="60"/>
      <w:jc w:val="center"/>
      <w:outlineLvl w:val="0"/>
    </w:pPr>
    <w:rPr>
      <w:rFonts w:ascii="Cambria" w:hAnsi="Cambria" w:cs="黑体"/>
      <w:b/>
      <w:bCs/>
      <w:sz w:val="32"/>
      <w:szCs w:val="32"/>
    </w:rPr>
  </w:style>
  <w:style w:type="paragraph" w:styleId="15">
    <w:name w:val="Body Text First Indent 2"/>
    <w:basedOn w:val="7"/>
    <w:qFormat/>
    <w:uiPriority w:val="0"/>
    <w:pPr>
      <w:ind w:left="0" w:firstLine="420" w:firstLineChars="200"/>
    </w:pPr>
    <w:rPr>
      <w:rFonts w:ascii="Calibri" w:hAnsi="Calibri" w:eastAsia="宋体"/>
      <w:kern w:val="0"/>
    </w:rPr>
  </w:style>
  <w:style w:type="table" w:styleId="17">
    <w:name w:val="Table Grid"/>
    <w:basedOn w:val="1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9">
    <w:name w:val="page number"/>
    <w:basedOn w:val="18"/>
    <w:qFormat/>
    <w:uiPriority w:val="0"/>
  </w:style>
  <w:style w:type="character" w:styleId="20">
    <w:name w:val="Hyperlink"/>
    <w:basedOn w:val="18"/>
    <w:qFormat/>
    <w:uiPriority w:val="0"/>
    <w:rPr>
      <w:color w:val="0000FF"/>
      <w:u w:val="single"/>
    </w:rPr>
  </w:style>
  <w:style w:type="character" w:customStyle="1" w:styleId="21">
    <w:name w:val="页眉 字符"/>
    <w:basedOn w:val="18"/>
    <w:link w:val="11"/>
    <w:qFormat/>
    <w:uiPriority w:val="0"/>
    <w:rPr>
      <w:rFonts w:asciiTheme="minorHAnsi" w:hAnsiTheme="minorHAnsi" w:eastAsiaTheme="minorEastAsia" w:cstheme="minorBidi"/>
      <w:kern w:val="2"/>
      <w:sz w:val="18"/>
      <w:szCs w:val="18"/>
    </w:rPr>
  </w:style>
  <w:style w:type="character" w:customStyle="1" w:styleId="22">
    <w:name w:val="页脚 字符"/>
    <w:basedOn w:val="18"/>
    <w:link w:val="10"/>
    <w:qFormat/>
    <w:uiPriority w:val="0"/>
    <w:rPr>
      <w:rFonts w:asciiTheme="minorHAnsi" w:hAnsiTheme="minorHAnsi" w:eastAsiaTheme="minorEastAsia" w:cstheme="minorBidi"/>
      <w:kern w:val="2"/>
      <w:sz w:val="18"/>
      <w:szCs w:val="18"/>
    </w:rPr>
  </w:style>
  <w:style w:type="paragraph" w:styleId="23">
    <w:name w:val="List Paragraph"/>
    <w:basedOn w:val="1"/>
    <w:qFormat/>
    <w:uiPriority w:val="99"/>
    <w:pPr>
      <w:ind w:firstLine="420" w:firstLineChars="200"/>
    </w:pPr>
  </w:style>
  <w:style w:type="paragraph" w:customStyle="1" w:styleId="24">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25">
    <w:name w:val="CM27"/>
    <w:basedOn w:val="24"/>
    <w:next w:val="24"/>
    <w:qFormat/>
    <w:uiPriority w:val="99"/>
    <w:rPr>
      <w:color w:val="auto"/>
    </w:rPr>
  </w:style>
  <w:style w:type="paragraph" w:customStyle="1" w:styleId="26">
    <w:name w:val="CM24"/>
    <w:basedOn w:val="24"/>
    <w:next w:val="24"/>
    <w:qFormat/>
    <w:uiPriority w:val="99"/>
    <w:rPr>
      <w:color w:val="auto"/>
    </w:rPr>
  </w:style>
  <w:style w:type="character" w:customStyle="1" w:styleId="27">
    <w:name w:val="批注框文本 字符"/>
    <w:basedOn w:val="18"/>
    <w:link w:val="9"/>
    <w:qFormat/>
    <w:uiPriority w:val="0"/>
    <w:rPr>
      <w:rFonts w:asciiTheme="minorHAnsi" w:hAnsiTheme="minorHAnsi" w:eastAsiaTheme="minorEastAsia" w:cstheme="minorBidi"/>
      <w:kern w:val="2"/>
      <w:sz w:val="18"/>
      <w:szCs w:val="18"/>
    </w:rPr>
  </w:style>
  <w:style w:type="paragraph" w:customStyle="1" w:styleId="28">
    <w:name w:val="正文_161"/>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表标题"/>
    <w:basedOn w:val="1"/>
    <w:qFormat/>
    <w:uiPriority w:val="0"/>
    <w:pPr>
      <w:spacing w:beforeLines="50" w:line="480" w:lineRule="auto"/>
      <w:jc w:val="center"/>
    </w:pPr>
    <w:rPr>
      <w:rFonts w:eastAsia="黑体"/>
      <w:kern w:val="0"/>
      <w:sz w:val="20"/>
      <w:szCs w:val="20"/>
    </w:rPr>
  </w:style>
  <w:style w:type="paragraph" w:customStyle="1" w:styleId="30">
    <w:name w:val="表格文字"/>
    <w:basedOn w:val="1"/>
    <w:qFormat/>
    <w:uiPriority w:val="0"/>
    <w:pPr>
      <w:jc w:val="center"/>
    </w:pPr>
    <w:rPr>
      <w:rFonts w:ascii="华文宋体" w:hAnsi="华文宋体" w:eastAsia="华文宋体" w:cs="华文宋体"/>
      <w:szCs w:val="18"/>
    </w:rPr>
  </w:style>
  <w:style w:type="paragraph" w:customStyle="1" w:styleId="31">
    <w:name w:val="Normal_0"/>
    <w:qFormat/>
    <w:uiPriority w:val="0"/>
    <w:rPr>
      <w:rFonts w:ascii="Times New Roman" w:hAnsi="Times New Roman" w:eastAsia="Times New Roman" w:cs="Times New Roman"/>
      <w:sz w:val="24"/>
      <w:szCs w:val="24"/>
      <w:lang w:bidi="ar-SA"/>
    </w:rPr>
  </w:style>
  <w:style w:type="character" w:customStyle="1" w:styleId="32">
    <w:name w:val="标题 2 Char"/>
    <w:link w:val="2"/>
    <w:qFormat/>
    <w:uiPriority w:val="0"/>
    <w:rPr>
      <w:rFonts w:ascii="Arial" w:hAnsi="Arial" w:eastAsia="黑体"/>
      <w:b/>
      <w:bCs/>
      <w:sz w:val="32"/>
      <w:szCs w:val="32"/>
    </w:rPr>
  </w:style>
  <w:style w:type="paragraph" w:customStyle="1" w:styleId="33">
    <w:name w:val="WPSOffice手动目录 1"/>
    <w:uiPriority w:val="0"/>
    <w:pPr>
      <w:ind w:leftChars="0"/>
    </w:pPr>
    <w:rPr>
      <w:rFonts w:ascii="Calibri" w:hAnsi="Calibri" w:eastAsia="宋体" w:cs="Calibri"/>
      <w:sz w:val="20"/>
      <w:szCs w:val="20"/>
    </w:rPr>
  </w:style>
  <w:style w:type="paragraph" w:customStyle="1" w:styleId="34">
    <w:name w:val="WPSOffice手动目录 2"/>
    <w:qFormat/>
    <w:uiPriority w:val="0"/>
    <w:pPr>
      <w:ind w:leftChars="200"/>
    </w:pPr>
    <w:rPr>
      <w:rFonts w:ascii="Calibri" w:hAnsi="Calibri" w:eastAsia="宋体" w:cs="Calibri"/>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4.png"/><Relationship Id="rId3" Type="http://schemas.openxmlformats.org/officeDocument/2006/relationships/header" Target="header1.xml"/><Relationship Id="rId29" Type="http://schemas.openxmlformats.org/officeDocument/2006/relationships/image" Target="media/image13.jpeg"/><Relationship Id="rId28" Type="http://schemas.openxmlformats.org/officeDocument/2006/relationships/image" Target="media/image12.jpeg"/><Relationship Id="rId27" Type="http://schemas.openxmlformats.org/officeDocument/2006/relationships/image" Target="media/image11.jpeg"/><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jpeg"/><Relationship Id="rId23" Type="http://schemas.openxmlformats.org/officeDocument/2006/relationships/image" Target="media/image7.wmf"/><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5.bin"/><Relationship Id="rId17" Type="http://schemas.openxmlformats.org/officeDocument/2006/relationships/image" Target="media/image4.wmf"/><Relationship Id="rId16" Type="http://schemas.openxmlformats.org/officeDocument/2006/relationships/oleObject" Target="embeddings/oleObject4.bin"/><Relationship Id="rId15" Type="http://schemas.openxmlformats.org/officeDocument/2006/relationships/image" Target="media/image3.wmf"/><Relationship Id="rId14" Type="http://schemas.openxmlformats.org/officeDocument/2006/relationships/oleObject" Target="embeddings/oleObject3.bin"/><Relationship Id="rId13" Type="http://schemas.openxmlformats.org/officeDocument/2006/relationships/image" Target="media/image2.wmf"/><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天津大学</Company>
  <Pages>79</Pages>
  <Words>25877</Words>
  <Characters>60691</Characters>
  <Lines>505</Lines>
  <Paragraphs>172</Paragraphs>
  <TotalTime>11</TotalTime>
  <ScaleCrop>false</ScaleCrop>
  <LinksUpToDate>false</LinksUpToDate>
  <CharactersWithSpaces>86396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2018-11-08T12:25:00Z</dcterms:created>
  <dc:creator>Administrator</dc:creator>
  <cp:lastModifiedBy>市民7</cp:lastModifiedBy>
  <dcterms:modified xsi:type="dcterms:W3CDTF">2021-07-09T10:59:47Z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C719B3DF2B9C431EA3B1BE16FB0611BE</vt:lpwstr>
  </property>
</Properties>
</file>